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F2" w:rsidRDefault="002D27F2" w:rsidP="00621F12">
      <w:pPr>
        <w:pBdr>
          <w:bottom w:val="single" w:sz="4" w:space="12" w:color="0070C0"/>
        </w:pBdr>
        <w:spacing w:line="264" w:lineRule="auto"/>
        <w:jc w:val="both"/>
        <w:rPr>
          <w:b/>
          <w:sz w:val="28"/>
        </w:rPr>
      </w:pPr>
    </w:p>
    <w:p w:rsidR="008571D2" w:rsidRPr="002F25BB" w:rsidRDefault="008571D2" w:rsidP="00621F12">
      <w:pPr>
        <w:pBdr>
          <w:bottom w:val="single" w:sz="4" w:space="12" w:color="0070C0"/>
        </w:pBdr>
        <w:spacing w:line="264" w:lineRule="auto"/>
        <w:jc w:val="both"/>
        <w:rPr>
          <w:sz w:val="28"/>
        </w:rPr>
      </w:pPr>
      <w:r w:rsidRPr="002F25BB">
        <w:rPr>
          <w:b/>
          <w:sz w:val="28"/>
        </w:rPr>
        <w:t>Nucléaire</w:t>
      </w:r>
      <w:r w:rsidR="00F61D4D" w:rsidRPr="002F25BB">
        <w:rPr>
          <w:b/>
          <w:sz w:val="28"/>
        </w:rPr>
        <w:t xml:space="preserve"> </w:t>
      </w:r>
      <w:r w:rsidRPr="002F25BB">
        <w:rPr>
          <w:b/>
          <w:sz w:val="28"/>
        </w:rPr>
        <w:t xml:space="preserve">: </w:t>
      </w:r>
      <w:r w:rsidR="004E7953">
        <w:rPr>
          <w:b/>
          <w:sz w:val="28"/>
        </w:rPr>
        <w:t>une feuille de route pour ouvrir les deux options</w:t>
      </w:r>
      <w:r w:rsidR="00F61D4D" w:rsidRPr="002F25BB">
        <w:rPr>
          <w:b/>
          <w:sz w:val="28"/>
        </w:rPr>
        <w:t xml:space="preserve"> </w:t>
      </w:r>
    </w:p>
    <w:p w:rsidR="00CE30DF" w:rsidRDefault="00CE30DF" w:rsidP="00621F12">
      <w:pPr>
        <w:spacing w:after="360" w:line="264" w:lineRule="auto"/>
        <w:jc w:val="both"/>
        <w:rPr>
          <w:b/>
          <w:color w:val="C00000"/>
        </w:rPr>
      </w:pPr>
    </w:p>
    <w:p w:rsidR="002C7E4F" w:rsidRPr="00621F12" w:rsidRDefault="00F82B9D" w:rsidP="00621F12">
      <w:pPr>
        <w:spacing w:after="360" w:line="264" w:lineRule="auto"/>
        <w:jc w:val="both"/>
        <w:rPr>
          <w:b/>
          <w:i/>
          <w:color w:val="0070C0"/>
          <w:sz w:val="24"/>
        </w:rPr>
      </w:pPr>
      <w:r w:rsidRPr="00621F12">
        <w:rPr>
          <w:b/>
          <w:i/>
          <w:color w:val="0070C0"/>
          <w:sz w:val="24"/>
        </w:rPr>
        <w:t>1.   </w:t>
      </w:r>
      <w:r w:rsidR="00CE30DF" w:rsidRPr="00621F12">
        <w:rPr>
          <w:b/>
          <w:i/>
          <w:color w:val="0070C0"/>
          <w:sz w:val="24"/>
        </w:rPr>
        <w:t xml:space="preserve">Les orientations de la politique </w:t>
      </w:r>
      <w:r w:rsidR="00621F12" w:rsidRPr="00621F12">
        <w:rPr>
          <w:b/>
          <w:i/>
          <w:color w:val="0070C0"/>
          <w:sz w:val="24"/>
        </w:rPr>
        <w:t xml:space="preserve">énergétique </w:t>
      </w:r>
      <w:r w:rsidR="00CE30DF" w:rsidRPr="00621F12">
        <w:rPr>
          <w:b/>
          <w:i/>
          <w:color w:val="0070C0"/>
          <w:sz w:val="24"/>
        </w:rPr>
        <w:t>sont clarifiées et partagées, mais la question du nucléaire reste pendante</w:t>
      </w:r>
    </w:p>
    <w:p w:rsidR="005E057D" w:rsidRDefault="00D01B2D" w:rsidP="00917359">
      <w:pPr>
        <w:spacing w:line="264" w:lineRule="auto"/>
        <w:jc w:val="both"/>
      </w:pPr>
      <w:r>
        <w:rPr>
          <w:b/>
        </w:rPr>
        <w:t>La loi de 2015 pour la transition énergétique et une croissance verte (LTECV) est une base</w:t>
      </w:r>
      <w:r w:rsidR="008571D2" w:rsidRPr="002C7E4F">
        <w:rPr>
          <w:b/>
        </w:rPr>
        <w:t xml:space="preserve"> pertinente</w:t>
      </w:r>
      <w:r>
        <w:rPr>
          <w:b/>
        </w:rPr>
        <w:t xml:space="preserve"> pour notre politique énergétique ; il faut maintenant la mettre en </w:t>
      </w:r>
      <w:r w:rsidR="008571D2" w:rsidRPr="002C7E4F">
        <w:rPr>
          <w:b/>
        </w:rPr>
        <w:t>œuvre</w:t>
      </w:r>
      <w:r w:rsidR="008571D2">
        <w:t xml:space="preserve">. </w:t>
      </w:r>
      <w:r>
        <w:t>Elle énonce des f</w:t>
      </w:r>
      <w:r w:rsidR="008571D2">
        <w:t>inalités (</w:t>
      </w:r>
      <w:r>
        <w:t xml:space="preserve">lutte contre le changement </w:t>
      </w:r>
      <w:r w:rsidR="008571D2">
        <w:t>climat</w:t>
      </w:r>
      <w:r>
        <w:t>ique</w:t>
      </w:r>
      <w:r w:rsidR="008571D2">
        <w:t xml:space="preserve">, sécurité d’approvisionnement, coût de l’énergie) et </w:t>
      </w:r>
      <w:r>
        <w:t xml:space="preserve">des </w:t>
      </w:r>
      <w:r w:rsidR="008571D2">
        <w:t>objectifs</w:t>
      </w:r>
      <w:r>
        <w:t xml:space="preserve"> (en premier lieu : réduire de 40% les émissions de gaz à effet de serre entre 1990 et 2030, sur le chemin du facteur 4 en 2050, réduire de 30% la consommation d’énergie fossile primaire et de 20% la consommation finale, toutes énergies confondues, entre 2012 et 2030)</w:t>
      </w:r>
      <w:r w:rsidR="008571D2">
        <w:t xml:space="preserve">. </w:t>
      </w:r>
    </w:p>
    <w:p w:rsidR="0094145D" w:rsidRDefault="0094145D" w:rsidP="00917359">
      <w:pPr>
        <w:spacing w:line="264" w:lineRule="auto"/>
        <w:jc w:val="both"/>
      </w:pPr>
      <w:r>
        <w:t>Pour bien parler d’électricité (24% de l’énergie finale</w:t>
      </w:r>
      <w:r w:rsidR="0091653F">
        <w:t xml:space="preserve"> en 2012</w:t>
      </w:r>
      <w:r>
        <w:t xml:space="preserve">), il faut </w:t>
      </w:r>
      <w:r w:rsidR="00FC2EE5">
        <w:t xml:space="preserve">d’abord </w:t>
      </w:r>
      <w:r>
        <w:t xml:space="preserve">noter que </w:t>
      </w:r>
      <w:r w:rsidRPr="0094145D">
        <w:rPr>
          <w:b/>
        </w:rPr>
        <w:t xml:space="preserve">réduire la consommation d’énergie fossile (65% de l’énergie finale) </w:t>
      </w:r>
      <w:r w:rsidR="00FC2EE5">
        <w:rPr>
          <w:b/>
        </w:rPr>
        <w:t>est la clé</w:t>
      </w:r>
      <w:r w:rsidRPr="0094145D">
        <w:rPr>
          <w:b/>
        </w:rPr>
        <w:t xml:space="preserve"> de la transition énergétique</w:t>
      </w:r>
      <w:r w:rsidRPr="0094145D">
        <w:t>. La PPE précise des cibles pour 2023 (– 23% de pétrole,  – 16% de gaz, – 15% de consommation dans les bâtiments par rapport à 2012 …), mais le contenu opératoire associé est moins précis. Remplacer des hydrocarbures par de l’électricité est en tous cas un levier précieux, à condition évidemment de garder un mix de production électrique quasi-exempt de sources fossiles</w:t>
      </w:r>
      <w:r w:rsidR="00FC2EE5">
        <w:t>.</w:t>
      </w:r>
    </w:p>
    <w:p w:rsidR="00220774" w:rsidRDefault="002D27F2" w:rsidP="00621F12">
      <w:pPr>
        <w:spacing w:after="360" w:line="264" w:lineRule="auto"/>
        <w:jc w:val="both"/>
      </w:pPr>
      <w:r>
        <w:t>L’un d</w:t>
      </w:r>
      <w:r w:rsidR="00D01B2D">
        <w:t xml:space="preserve">es objectifs </w:t>
      </w:r>
      <w:r>
        <w:t xml:space="preserve">de la LTECV </w:t>
      </w:r>
      <w:r w:rsidR="00D01B2D">
        <w:t xml:space="preserve">a suscité et suscite encore beaucoup de débats : c’est </w:t>
      </w:r>
      <w:r w:rsidR="00D01B2D" w:rsidRPr="005E057D">
        <w:rPr>
          <w:b/>
        </w:rPr>
        <w:t xml:space="preserve">la diminution à 50% de la place du nucléaire dans la production électrique </w:t>
      </w:r>
      <w:r w:rsidR="005E057D" w:rsidRPr="005E057D">
        <w:rPr>
          <w:b/>
        </w:rPr>
        <w:t>à l’horizon</w:t>
      </w:r>
      <w:r w:rsidR="00D01B2D" w:rsidRPr="005E057D">
        <w:rPr>
          <w:b/>
        </w:rPr>
        <w:t xml:space="preserve"> 2025</w:t>
      </w:r>
      <w:r w:rsidR="00D01B2D">
        <w:t xml:space="preserve">, associée à l’accroissement des renouvelables.  Il exprime la volonté </w:t>
      </w:r>
      <w:r w:rsidR="008571D2">
        <w:t xml:space="preserve">de diversifier progressivement un mix de production électrique trop lié à une technologie, tout en </w:t>
      </w:r>
      <w:r w:rsidR="00220774">
        <w:t xml:space="preserve">maintenant </w:t>
      </w:r>
      <w:r w:rsidR="005E057D">
        <w:t>l’atout d’</w:t>
      </w:r>
      <w:r w:rsidR="00220774">
        <w:t>une proportion très faible de sources fossiles</w:t>
      </w:r>
      <w:r w:rsidR="005E057D">
        <w:rPr>
          <w:rStyle w:val="Marquenotebasdepage"/>
        </w:rPr>
        <w:footnoteReference w:id="1"/>
      </w:r>
      <w:r w:rsidR="00220774">
        <w:t xml:space="preserve">. </w:t>
      </w:r>
      <w:r w:rsidR="005E057D">
        <w:t>Nous verrons cependant que la date de 2025 est trop rapprochée.</w:t>
      </w:r>
      <w:r w:rsidR="00CE30DF">
        <w:t xml:space="preserve"> </w:t>
      </w:r>
      <w:r w:rsidR="00497A10">
        <w:t xml:space="preserve">Par ailleurs, alors que l’EPR accumule difficultés, surcoûts et retards, il faut </w:t>
      </w:r>
      <w:r w:rsidR="00497A10" w:rsidRPr="00497A10">
        <w:rPr>
          <w:b/>
        </w:rPr>
        <w:t>aborder de façon ouverte et lucide la question du nucléaire neuf</w:t>
      </w:r>
      <w:r w:rsidR="00497A10">
        <w:t xml:space="preserve">. </w:t>
      </w:r>
    </w:p>
    <w:p w:rsidR="00FC0514" w:rsidRPr="007A423F" w:rsidRDefault="00F82B9D" w:rsidP="00621F12">
      <w:pPr>
        <w:spacing w:after="360" w:line="264" w:lineRule="auto"/>
        <w:jc w:val="both"/>
        <w:rPr>
          <w:i/>
          <w:color w:val="0070C0"/>
          <w:sz w:val="24"/>
        </w:rPr>
      </w:pPr>
      <w:r w:rsidRPr="007A423F">
        <w:rPr>
          <w:b/>
          <w:i/>
          <w:color w:val="0070C0"/>
          <w:sz w:val="24"/>
        </w:rPr>
        <w:t>2.  </w:t>
      </w:r>
      <w:r w:rsidR="005E057D" w:rsidRPr="007A423F">
        <w:rPr>
          <w:b/>
          <w:i/>
          <w:color w:val="0070C0"/>
          <w:sz w:val="24"/>
        </w:rPr>
        <w:t xml:space="preserve">A mi-2017, où en sommes-nous ? </w:t>
      </w:r>
    </w:p>
    <w:p w:rsidR="00906FCD" w:rsidRDefault="00FC0514" w:rsidP="00CE30DF">
      <w:pPr>
        <w:spacing w:line="264" w:lineRule="auto"/>
        <w:jc w:val="both"/>
      </w:pPr>
      <w:r w:rsidRPr="00CE30DF">
        <w:rPr>
          <w:b/>
        </w:rPr>
        <w:t>Le processus d’arrêt de la centrale de Fessenheim</w:t>
      </w:r>
      <w:r w:rsidRPr="00FC0514">
        <w:t xml:space="preserve"> (2 tranches de 900 MW) est enclenché. Un protocole d’indemnisation d’EDF par l’Etat a été signé qui prévoit un versement initial de 400 M€ environ, plus un complément indexé sur l’écart entre les futurs prix de marché de l’électricité et les coûts qu’aurait encourus EDF en cas de prolongation de l’exploitation.</w:t>
      </w:r>
      <w:r>
        <w:t xml:space="preserve"> </w:t>
      </w:r>
      <w:r w:rsidR="00906FCD">
        <w:t xml:space="preserve">Ce que l’Etat versera au total pourrait être double ou triple du versement initial. </w:t>
      </w:r>
      <w:r>
        <w:t>La date d’arrêt est, quant à elle, calée sur la mise en service de la nouvelle centrale EPR (1650 MW) de Fl</w:t>
      </w:r>
      <w:r w:rsidR="00906FCD">
        <w:t xml:space="preserve">amanville (ce qui répondra à une disposition </w:t>
      </w:r>
      <w:r>
        <w:t xml:space="preserve">de la LTECV : ne pas dépasser 63 GW de puissance nucléaire). Cette date de mise en service de Flamanville </w:t>
      </w:r>
      <w:r w:rsidR="00906FCD">
        <w:t>devrait intervenir, si aucun problème nouveau ne se dresse sur ce chantier</w:t>
      </w:r>
      <w:r w:rsidR="00BA7FD0">
        <w:t xml:space="preserve"> qui en a connu beaucoup</w:t>
      </w:r>
      <w:r w:rsidR="00906FCD">
        <w:t>, en 2020</w:t>
      </w:r>
      <w:r w:rsidR="00906FCD">
        <w:rPr>
          <w:rStyle w:val="Marquenotebasdepage"/>
        </w:rPr>
        <w:footnoteReference w:id="2"/>
      </w:r>
      <w:r w:rsidR="00906FCD">
        <w:t>.</w:t>
      </w:r>
    </w:p>
    <w:p w:rsidR="00D17538" w:rsidRDefault="00906FCD" w:rsidP="00CE30DF">
      <w:pPr>
        <w:spacing w:line="264" w:lineRule="auto"/>
        <w:jc w:val="both"/>
      </w:pPr>
      <w:r w:rsidRPr="00CE30DF">
        <w:rPr>
          <w:b/>
        </w:rPr>
        <w:t>La programmation pluriannuelle de l’énergie</w:t>
      </w:r>
      <w:r w:rsidR="00A57429">
        <w:t xml:space="preserve"> (PPE)</w:t>
      </w:r>
      <w:r w:rsidR="00D17538">
        <w:t>, qui</w:t>
      </w:r>
      <w:r w:rsidR="00A57429">
        <w:t xml:space="preserve"> jalonne </w:t>
      </w:r>
      <w:r w:rsidR="00D17538">
        <w:t xml:space="preserve">et précise </w:t>
      </w:r>
      <w:r w:rsidR="00A57429">
        <w:t>à moyen terme</w:t>
      </w:r>
      <w:r w:rsidR="00D17538">
        <w:t xml:space="preserve"> (2023)</w:t>
      </w:r>
      <w:r w:rsidR="00A57429">
        <w:t xml:space="preserve"> la mise en œuvre </w:t>
      </w:r>
      <w:r w:rsidR="00D17538">
        <w:t>de la LTECV</w:t>
      </w:r>
      <w:r w:rsidR="00A57429">
        <w:t>, a fait l’objet d’un décret de novembre 2016. Son contenu sur le nucléaire reste évasif : il est évoqué, à titre indicatif, une production nucléaire qui, en 2023, devrait être inférieure de 10 à 65 TWh à celle actuelle (qui est de l’ordre de 400 TWh).</w:t>
      </w:r>
      <w:r w:rsidR="00D17538">
        <w:t xml:space="preserve"> </w:t>
      </w:r>
    </w:p>
    <w:p w:rsidR="00A57429" w:rsidRDefault="00D17538" w:rsidP="00621F12">
      <w:pPr>
        <w:spacing w:after="360" w:line="264" w:lineRule="auto"/>
        <w:jc w:val="both"/>
      </w:pPr>
      <w:r w:rsidRPr="00CE30DF">
        <w:rPr>
          <w:b/>
        </w:rPr>
        <w:t xml:space="preserve">La nécessité politique et industrielle d’être plus opératoire sur la question nucléaire </w:t>
      </w:r>
      <w:r w:rsidR="000979E2" w:rsidRPr="00CE30DF">
        <w:rPr>
          <w:b/>
        </w:rPr>
        <w:t>est toujours devant nous</w:t>
      </w:r>
      <w:r>
        <w:t>. Elle devra être traduite dans la prochaine PPE qui doit être édictée en 2018, couvrant la période 2018-2028. Entre programmation donnant de la visibilité à tous les acteurs et gestion strat</w:t>
      </w:r>
      <w:r w:rsidR="000979E2">
        <w:t>égique des incertitudes (efficacité énergétique et évolution de la consommation</w:t>
      </w:r>
      <w:r>
        <w:t xml:space="preserve">, performance et acceptabilité des </w:t>
      </w:r>
      <w:r w:rsidR="000979E2">
        <w:t xml:space="preserve">différentes </w:t>
      </w:r>
      <w:r>
        <w:t>technologies</w:t>
      </w:r>
      <w:r w:rsidR="00CE30DF">
        <w:t>, notamment renouvelables</w:t>
      </w:r>
      <w:r>
        <w:t xml:space="preserve">), il faut </w:t>
      </w:r>
      <w:r w:rsidR="00CE30DF">
        <w:t xml:space="preserve">maintenant </w:t>
      </w:r>
      <w:r>
        <w:t>placer le curseur.</w:t>
      </w:r>
    </w:p>
    <w:p w:rsidR="00CE4CA3" w:rsidRPr="007A423F" w:rsidRDefault="00F82B9D" w:rsidP="00621F12">
      <w:pPr>
        <w:spacing w:after="360" w:line="264" w:lineRule="auto"/>
        <w:jc w:val="both"/>
        <w:rPr>
          <w:b/>
          <w:i/>
          <w:color w:val="0070C0"/>
          <w:sz w:val="24"/>
        </w:rPr>
      </w:pPr>
      <w:r w:rsidRPr="007A423F">
        <w:rPr>
          <w:b/>
          <w:i/>
          <w:color w:val="0070C0"/>
          <w:sz w:val="24"/>
        </w:rPr>
        <w:t>3.  </w:t>
      </w:r>
      <w:r w:rsidR="00CE4CA3" w:rsidRPr="007A423F">
        <w:rPr>
          <w:b/>
          <w:i/>
          <w:color w:val="0070C0"/>
          <w:sz w:val="24"/>
        </w:rPr>
        <w:t>Paysage technique et économique</w:t>
      </w:r>
      <w:r w:rsidR="00497A10" w:rsidRPr="007A423F">
        <w:rPr>
          <w:b/>
          <w:i/>
          <w:color w:val="0070C0"/>
          <w:sz w:val="24"/>
        </w:rPr>
        <w:t xml:space="preserve"> des filières de production d’électricité</w:t>
      </w:r>
    </w:p>
    <w:p w:rsidR="00FA384B" w:rsidRDefault="00497A10" w:rsidP="00A773D0">
      <w:pPr>
        <w:spacing w:after="360" w:line="264" w:lineRule="auto"/>
        <w:jc w:val="both"/>
      </w:pPr>
      <w:r w:rsidRPr="00B82BDE">
        <w:rPr>
          <w:b/>
        </w:rPr>
        <w:t>Le parc nucléaire en service</w:t>
      </w:r>
      <w:r w:rsidR="00FA384B" w:rsidRPr="00B82BDE">
        <w:rPr>
          <w:b/>
        </w:rPr>
        <w:t xml:space="preserve"> </w:t>
      </w:r>
      <w:r w:rsidR="00FA384B">
        <w:t>se co</w:t>
      </w:r>
      <w:r w:rsidR="00DC27E3">
        <w:t>mpose de 58 tranches, dont 54 ont été</w:t>
      </w:r>
      <w:r w:rsidR="00FA384B">
        <w:t xml:space="preserve"> mises en service de f</w:t>
      </w:r>
      <w:r w:rsidR="00DC27E3">
        <w:t xml:space="preserve">açon concentrée dans le temps (34 tranches 900 MW entre 1978 et </w:t>
      </w:r>
      <w:r w:rsidR="00FA384B">
        <w:t>198</w:t>
      </w:r>
      <w:r w:rsidR="00DC27E3">
        <w:t xml:space="preserve">6, 20 tranches 1300 MW entre </w:t>
      </w:r>
      <w:r w:rsidR="00FA384B">
        <w:t>1985</w:t>
      </w:r>
      <w:r w:rsidR="00DC27E3">
        <w:t xml:space="preserve"> et </w:t>
      </w:r>
      <w:r w:rsidR="00FA384B">
        <w:t xml:space="preserve">1992) et 4 </w:t>
      </w:r>
      <w:r w:rsidR="00DC27E3">
        <w:t xml:space="preserve">à une date un peu plus tardive (4 tranches 1500 MW entre 1997 et </w:t>
      </w:r>
      <w:r w:rsidR="00FA384B">
        <w:t xml:space="preserve">2002). </w:t>
      </w:r>
      <w:r w:rsidR="00F41F1C">
        <w:t>La chronologie d’un</w:t>
      </w:r>
      <w:r w:rsidR="00DC27E3">
        <w:t xml:space="preserve"> arrêt </w:t>
      </w:r>
      <w:r w:rsidR="00F41F1C">
        <w:t>aux âges de</w:t>
      </w:r>
      <w:r w:rsidR="00DC27E3">
        <w:t xml:space="preserve"> 40 </w:t>
      </w:r>
      <w:r w:rsidR="00F41F1C">
        <w:t xml:space="preserve">ou 50 </w:t>
      </w:r>
      <w:r w:rsidR="00DC27E3">
        <w:t>ans (plus précis</w:t>
      </w:r>
      <w:r w:rsidR="00F41F1C">
        <w:t>ément : à la date prévue pour les</w:t>
      </w:r>
      <w:r w:rsidR="00DC27E3">
        <w:t xml:space="preserve"> quatrième</w:t>
      </w:r>
      <w:r w:rsidR="00F41F1C">
        <w:t>s</w:t>
      </w:r>
      <w:r w:rsidR="00DC27E3">
        <w:t xml:space="preserve"> </w:t>
      </w:r>
      <w:r w:rsidR="00F41F1C">
        <w:t>et cinquièmes visites décennales</w:t>
      </w:r>
      <w:r w:rsidR="00DC27E3">
        <w:t>, souvent postérieur</w:t>
      </w:r>
      <w:r w:rsidR="0094145D">
        <w:t>e</w:t>
      </w:r>
      <w:r w:rsidR="00DC27E3">
        <w:t xml:space="preserve"> d’un </w:t>
      </w:r>
      <w:r w:rsidR="00F41F1C">
        <w:t>à trois</w:t>
      </w:r>
      <w:r w:rsidR="00DC27E3">
        <w:t xml:space="preserve"> ans) </w:t>
      </w:r>
      <w:r w:rsidR="00F41F1C">
        <w:t>est figurée ci-dessous</w:t>
      </w:r>
      <w:r w:rsidR="00FA384B">
        <w:t>.</w:t>
      </w:r>
      <w:r w:rsidR="00093BFD">
        <w:t xml:space="preserve"> A noter que 50% de nucléaire dans la production d’électricité correspond approximativement à 40 GW en fonctionnement</w:t>
      </w:r>
      <w:r w:rsidR="00093BFD">
        <w:rPr>
          <w:rStyle w:val="Marquenotebasdepage"/>
        </w:rPr>
        <w:footnoteReference w:id="3"/>
      </w:r>
      <w:r w:rsidR="00093BFD">
        <w:t>.</w:t>
      </w:r>
    </w:p>
    <w:p w:rsidR="00DC27E3" w:rsidRDefault="00DC27E3" w:rsidP="0094145D">
      <w:pPr>
        <w:spacing w:line="264" w:lineRule="auto"/>
        <w:jc w:val="center"/>
      </w:pPr>
      <w:r w:rsidRPr="00A773D0">
        <w:rPr>
          <w:i/>
        </w:rPr>
        <w:t xml:space="preserve">Figure 1 : cumul (exprimé en GW) des tranches </w:t>
      </w:r>
      <w:r w:rsidR="00063CDF">
        <w:rPr>
          <w:i/>
        </w:rPr>
        <w:t>n’ayant pas encore atteint leur 4</w:t>
      </w:r>
      <w:r w:rsidR="00063CDF" w:rsidRPr="00063CDF">
        <w:rPr>
          <w:i/>
          <w:vertAlign w:val="superscript"/>
        </w:rPr>
        <w:t>ème</w:t>
      </w:r>
      <w:r w:rsidR="00063CDF">
        <w:rPr>
          <w:i/>
        </w:rPr>
        <w:t xml:space="preserve"> ou 5</w:t>
      </w:r>
      <w:r w:rsidR="00063CDF" w:rsidRPr="00063CDF">
        <w:rPr>
          <w:i/>
          <w:vertAlign w:val="superscript"/>
        </w:rPr>
        <w:t>ème</w:t>
      </w:r>
      <w:r w:rsidR="00063CDF">
        <w:rPr>
          <w:i/>
        </w:rPr>
        <w:t xml:space="preserve"> visite décennale</w:t>
      </w:r>
      <w:r>
        <w:rPr>
          <w:rStyle w:val="Marquenotebasdepage"/>
        </w:rPr>
        <w:footnoteReference w:id="4"/>
      </w:r>
    </w:p>
    <w:p w:rsidR="0094145D" w:rsidRDefault="00937194" w:rsidP="0094145D">
      <w:pPr>
        <w:spacing w:line="264" w:lineRule="auto"/>
        <w:jc w:val="center"/>
      </w:pPr>
      <w:r>
        <w:rPr>
          <w:noProof/>
          <w:lang w:eastAsia="fr-FR"/>
        </w:rPr>
        <w:drawing>
          <wp:inline distT="0" distB="0" distL="0" distR="0" wp14:anchorId="7B580682" wp14:editId="7AFEA4B5">
            <wp:extent cx="4601210" cy="2139351"/>
            <wp:effectExtent l="0" t="0" r="889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7FD0" w:rsidRDefault="00BA7FD0" w:rsidP="00FA384B">
      <w:pPr>
        <w:pStyle w:val="Paragraphedeliste"/>
        <w:numPr>
          <w:ilvl w:val="0"/>
          <w:numId w:val="38"/>
        </w:numPr>
        <w:spacing w:line="264" w:lineRule="auto"/>
        <w:jc w:val="both"/>
      </w:pPr>
      <w:r>
        <w:t>Le coût de fonctionnement est de l’ordre de 35 €/MWh, y compris les dotations aux provisions pour démantèlement et gestion des déchets, y compris les dépenses de jouvence et d’élévation du niveau de sûreté (dites de grand carénage) qui représentent environ 10 €/MWh. Ce co</w:t>
      </w:r>
      <w:r w:rsidR="00E461A8">
        <w:t>ût est inférieur de quelque 50 €</w:t>
      </w:r>
      <w:r>
        <w:t>/MWh au</w:t>
      </w:r>
      <w:r w:rsidR="00CE4CA3">
        <w:t xml:space="preserve"> coût de développement de</w:t>
      </w:r>
      <w:r>
        <w:t>s renouvelables (voir ci-dessous).</w:t>
      </w:r>
    </w:p>
    <w:p w:rsidR="00CE4CA3" w:rsidRDefault="00E461A8" w:rsidP="000061CA">
      <w:pPr>
        <w:pStyle w:val="Paragraphedeliste"/>
        <w:numPr>
          <w:ilvl w:val="0"/>
          <w:numId w:val="38"/>
        </w:numPr>
        <w:spacing w:line="264" w:lineRule="auto"/>
        <w:jc w:val="both"/>
      </w:pPr>
      <w:r>
        <w:t>Une revue de sûreté est attendue pour fin 2018 : l’Autorité de sûreté nucléaire exprimera son analyse et ses exigences quant au prolongement au-del</w:t>
      </w:r>
      <w:r w:rsidR="00A1201F">
        <w:t>à de 40 ans des tranches 900 MW</w:t>
      </w:r>
      <w:r w:rsidR="00FA384B">
        <w:t xml:space="preserve">. Il </w:t>
      </w:r>
      <w:r w:rsidR="00093BFD">
        <w:t xml:space="preserve">ne </w:t>
      </w:r>
      <w:r w:rsidR="00FA384B">
        <w:t xml:space="preserve">s’agira toutefois </w:t>
      </w:r>
      <w:r w:rsidR="00093BFD">
        <w:t xml:space="preserve">que </w:t>
      </w:r>
      <w:r w:rsidR="00FA384B">
        <w:t>d’un avis générique.</w:t>
      </w:r>
      <w:r w:rsidR="00CE4CA3">
        <w:t xml:space="preserve"> </w:t>
      </w:r>
      <w:r w:rsidR="00093BFD">
        <w:t xml:space="preserve">Les opérations tranche par tranche commenceront en </w:t>
      </w:r>
      <w:r w:rsidR="00CE4CA3">
        <w:t>2020</w:t>
      </w:r>
      <w:r w:rsidR="00093BFD">
        <w:t> ; c’est à l’issue de celle</w:t>
      </w:r>
      <w:r w:rsidR="00FC2EE5">
        <w:t xml:space="preserve">s-ci que l’ASN donnera ou non les </w:t>
      </w:r>
      <w:r w:rsidR="00093BFD">
        <w:t>autorisation</w:t>
      </w:r>
      <w:r w:rsidR="00FC2EE5">
        <w:t>s</w:t>
      </w:r>
      <w:r w:rsidR="00093BFD">
        <w:t xml:space="preserve"> pour continuer 10 ans</w:t>
      </w:r>
      <w:r w:rsidR="00CE4CA3">
        <w:t xml:space="preserve">. Quelques tranches pourraient voir leur prolongation sujette à des </w:t>
      </w:r>
      <w:r w:rsidR="002C7E4F">
        <w:t>contraintes techniques dirimantes</w:t>
      </w:r>
      <w:r w:rsidR="00CE4CA3">
        <w:t>, mais vu d’aujourd’hui c’est une assertion statistique et non nominative.</w:t>
      </w:r>
      <w:r w:rsidR="002C7E4F">
        <w:t xml:space="preserve"> A contrario, une grande partie du parc pourrait durer </w:t>
      </w:r>
      <w:r w:rsidR="00093BFD">
        <w:t xml:space="preserve">jusqu’à l’âge de 50, voire </w:t>
      </w:r>
      <w:r w:rsidR="002C7E4F">
        <w:t>60 ans.</w:t>
      </w:r>
    </w:p>
    <w:p w:rsidR="00CE4CA3" w:rsidRDefault="00F550C3" w:rsidP="00B82BDE">
      <w:pPr>
        <w:spacing w:line="264" w:lineRule="auto"/>
        <w:jc w:val="both"/>
      </w:pPr>
      <w:r w:rsidRPr="008D73E2">
        <w:rPr>
          <w:b/>
        </w:rPr>
        <w:t>S’agissant du</w:t>
      </w:r>
      <w:r w:rsidR="00B82BDE" w:rsidRPr="008D73E2">
        <w:rPr>
          <w:b/>
        </w:rPr>
        <w:t xml:space="preserve"> nucléaire neuf</w:t>
      </w:r>
      <w:r w:rsidR="006A5C73">
        <w:t xml:space="preserve">, l’EPR développé par </w:t>
      </w:r>
      <w:r>
        <w:t>la filière française</w:t>
      </w:r>
      <w:r w:rsidR="006A5C73">
        <w:t xml:space="preserve"> </w:t>
      </w:r>
      <w:r w:rsidR="00B82BDE">
        <w:t xml:space="preserve">est le sujet </w:t>
      </w:r>
      <w:r w:rsidR="00760C69">
        <w:t>de doutes</w:t>
      </w:r>
      <w:r w:rsidR="00B82BDE">
        <w:t xml:space="preserve"> techniques et économiques. </w:t>
      </w:r>
      <w:r w:rsidR="00063CDF">
        <w:t>On est</w:t>
      </w:r>
      <w:r w:rsidR="006A5C73">
        <w:t xml:space="preserve"> loin de disposer aujourd’hui d’un modèle à coût et délai de construction maîtrisés.</w:t>
      </w:r>
    </w:p>
    <w:p w:rsidR="00F41F1C" w:rsidRDefault="00D30AD8" w:rsidP="00F550C3">
      <w:pPr>
        <w:pStyle w:val="Paragraphedeliste"/>
        <w:numPr>
          <w:ilvl w:val="0"/>
          <w:numId w:val="38"/>
        </w:numPr>
        <w:spacing w:line="264" w:lineRule="auto"/>
        <w:jc w:val="both"/>
      </w:pPr>
      <w:r>
        <w:t xml:space="preserve">L’EPR de Flamanville, lancé en 2006 sur un devis de 3,3 Md€ pour une mise en service en 2012, est aujourd’hui évalué par EDF à plus de 10 Md€ (hors intérêts financiers liés aux dépenses immobilisées), avec une mise en service qui interviendra au mieux en 2020. Ces éléments suffisent à placer l’estimation d’un coût de revient au-delà de 120 €/MWh. </w:t>
      </w:r>
    </w:p>
    <w:p w:rsidR="00CE4CA3" w:rsidRDefault="00D30AD8" w:rsidP="00F550C3">
      <w:pPr>
        <w:pStyle w:val="Paragraphedeliste"/>
        <w:numPr>
          <w:ilvl w:val="0"/>
          <w:numId w:val="38"/>
        </w:numPr>
        <w:spacing w:line="264" w:lineRule="auto"/>
        <w:jc w:val="both"/>
      </w:pPr>
      <w:r>
        <w:t>Les deux EPR d’Hinkley</w:t>
      </w:r>
      <w:r w:rsidR="00A44891">
        <w:t xml:space="preserve"> Point ont été décidés mi-2016</w:t>
      </w:r>
      <w:r w:rsidR="00002F19">
        <w:t xml:space="preserve"> </w:t>
      </w:r>
      <w:r>
        <w:t>après un vif débat jusqu’au sein d’EDF</w:t>
      </w:r>
      <w:r w:rsidR="008D73E2">
        <w:t xml:space="preserve"> (</w:t>
      </w:r>
      <w:r>
        <w:t>dé</w:t>
      </w:r>
      <w:r w:rsidR="008D73E2">
        <w:t xml:space="preserve">mission du directeur financier, opposition des </w:t>
      </w:r>
      <w:r w:rsidR="00DC27E3">
        <w:t>syndicats</w:t>
      </w:r>
      <w:r w:rsidR="008D73E2">
        <w:t xml:space="preserve">, </w:t>
      </w:r>
      <w:r>
        <w:t>vote tendu en conseil d’administration</w:t>
      </w:r>
      <w:r w:rsidR="008D73E2">
        <w:t> …)</w:t>
      </w:r>
      <w:r>
        <w:t xml:space="preserve">, au prix </w:t>
      </w:r>
      <w:r w:rsidR="00CE4CA3">
        <w:t>d’</w:t>
      </w:r>
      <w:r w:rsidR="002C7E4F">
        <w:t xml:space="preserve">une garantie </w:t>
      </w:r>
      <w:r>
        <w:t xml:space="preserve">du gouvernement britannique </w:t>
      </w:r>
      <w:r w:rsidR="002C7E4F">
        <w:t>de 110</w:t>
      </w:r>
      <w:r>
        <w:t> </w:t>
      </w:r>
      <w:r w:rsidR="002C7E4F">
        <w:t>€/MWh pendant 3</w:t>
      </w:r>
      <w:r w:rsidR="00F32523">
        <w:t>5 ans, tout en laissant EDF e</w:t>
      </w:r>
      <w:r>
        <w:t>xposée à des risques importants</w:t>
      </w:r>
      <w:r w:rsidR="00063CDF">
        <w:t>. Au moment de</w:t>
      </w:r>
      <w:r w:rsidR="00A44891">
        <w:t xml:space="preserve"> la décision,</w:t>
      </w:r>
      <w:r w:rsidR="00063CDF">
        <w:t xml:space="preserve"> le coût de construction était estimé à 20 Md€</w:t>
      </w:r>
      <w:r>
        <w:t xml:space="preserve"> </w:t>
      </w:r>
      <w:r w:rsidR="00063CDF">
        <w:t>et la durée à 6 ans.</w:t>
      </w:r>
      <w:r w:rsidR="004F49DD">
        <w:t xml:space="preserve"> </w:t>
      </w:r>
      <w:r w:rsidR="00063CDF">
        <w:t>Le</w:t>
      </w:r>
      <w:r w:rsidR="004F49DD">
        <w:t xml:space="preserve"> 3 juillet 2017, </w:t>
      </w:r>
      <w:r w:rsidR="00063CDF">
        <w:t xml:space="preserve">EDF annonce déjà </w:t>
      </w:r>
      <w:r w:rsidR="004F49DD">
        <w:t>une révision du coût de construction à + 1,</w:t>
      </w:r>
      <w:r w:rsidR="00313083">
        <w:t>7</w:t>
      </w:r>
      <w:r w:rsidR="004F49DD">
        <w:t xml:space="preserve"> Md€ et un risque de 15 mois </w:t>
      </w:r>
      <w:r w:rsidR="00063CDF">
        <w:t>de retard qui entraînerait 0,7</w:t>
      </w:r>
      <w:r w:rsidR="008016FC">
        <w:t> </w:t>
      </w:r>
      <w:r w:rsidR="00063CDF">
        <w:t>Md€ de surcoût additionnel.</w:t>
      </w:r>
      <w:r w:rsidR="004F49DD">
        <w:t xml:space="preserve"> </w:t>
      </w:r>
    </w:p>
    <w:p w:rsidR="002C7E4F" w:rsidRDefault="002C7E4F" w:rsidP="00F550C3">
      <w:pPr>
        <w:pStyle w:val="Paragraphedeliste"/>
        <w:numPr>
          <w:ilvl w:val="0"/>
          <w:numId w:val="38"/>
        </w:numPr>
        <w:spacing w:line="264" w:lineRule="auto"/>
        <w:jc w:val="both"/>
      </w:pPr>
      <w:r>
        <w:t>La compétitivité future demande de réduire d’un facteur 2 le coût de construction, ce qui ne s’obtiendra pas via de simp</w:t>
      </w:r>
      <w:r w:rsidR="00063CDF">
        <w:t>les « optimisations » d’un modèle EPR restant basé s</w:t>
      </w:r>
      <w:r w:rsidR="00A44891">
        <w:t>ur une puissance unitaire de 165</w:t>
      </w:r>
      <w:r w:rsidR="00063CDF">
        <w:t>0 à 1700 MW.</w:t>
      </w:r>
    </w:p>
    <w:p w:rsidR="008D73E2" w:rsidRDefault="008D73E2" w:rsidP="00917359">
      <w:pPr>
        <w:spacing w:line="264" w:lineRule="auto"/>
        <w:jc w:val="both"/>
      </w:pPr>
      <w:r>
        <w:rPr>
          <w:b/>
        </w:rPr>
        <w:t>Le coût de développement de l’éolien et du photovoltaïque est de l’ordre de 85 €/MWh</w:t>
      </w:r>
      <w:r w:rsidR="002D27F2">
        <w:rPr>
          <w:b/>
        </w:rPr>
        <w:t xml:space="preserve">, </w:t>
      </w:r>
      <w:r w:rsidR="002D27F2" w:rsidRPr="002D27F2">
        <w:t xml:space="preserve">en tenant compte des coûts d’insertion </w:t>
      </w:r>
      <w:r w:rsidR="00A773D0" w:rsidRPr="002D27F2">
        <w:t xml:space="preserve">d’une production intermittente </w:t>
      </w:r>
      <w:r w:rsidR="002D27F2" w:rsidRPr="002D27F2">
        <w:t>dans le système</w:t>
      </w:r>
      <w:r w:rsidR="00A773D0">
        <w:t xml:space="preserve"> électrique</w:t>
      </w:r>
      <w:r w:rsidR="002D27F2">
        <w:t>, à l’horizon des choix de la prochaine PPE (</w:t>
      </w:r>
      <w:r w:rsidR="00A773D0">
        <w:t>soit la décennie 2020</w:t>
      </w:r>
      <w:r w:rsidR="002D27F2">
        <w:t>)</w:t>
      </w:r>
      <w:r w:rsidRPr="002D27F2">
        <w:t>.</w:t>
      </w:r>
      <w:r w:rsidR="00A773D0">
        <w:rPr>
          <w:rStyle w:val="Marquenotebasdepage"/>
        </w:rPr>
        <w:footnoteReference w:id="5"/>
      </w:r>
    </w:p>
    <w:p w:rsidR="002D27F2" w:rsidRPr="002D27F2" w:rsidRDefault="002D27F2" w:rsidP="002D27F2">
      <w:pPr>
        <w:pStyle w:val="Paragraphedeliste"/>
        <w:numPr>
          <w:ilvl w:val="0"/>
          <w:numId w:val="38"/>
        </w:numPr>
        <w:spacing w:line="264" w:lineRule="auto"/>
        <w:jc w:val="both"/>
        <w:rPr>
          <w:b/>
        </w:rPr>
      </w:pPr>
      <w:r>
        <w:t>Le coût de revient du MWh produit a significativement baissé en quelques années, et ce mouvement devrait se poursuivre : des ordres de grandeurs typiques</w:t>
      </w:r>
      <w:r w:rsidR="00FC2EE5">
        <w:t xml:space="preserve"> pour 2020-25</w:t>
      </w:r>
      <w:r>
        <w:t xml:space="preserve"> sont de </w:t>
      </w:r>
      <w:r w:rsidR="00BA6615">
        <w:t xml:space="preserve">80-90 €/MWh pour l’éolien en mer, </w:t>
      </w:r>
      <w:r>
        <w:t>55-60 €/MWh pour l’éolien terrestre, 45-50 €/MWh pour le photovoltaïque en centrales au sol (moyen dominant dans les perspectives de développement du solaire).</w:t>
      </w:r>
    </w:p>
    <w:p w:rsidR="002D27F2" w:rsidRPr="00BA6615" w:rsidRDefault="002D27F2" w:rsidP="002D27F2">
      <w:pPr>
        <w:pStyle w:val="Paragraphedeliste"/>
        <w:numPr>
          <w:ilvl w:val="0"/>
          <w:numId w:val="38"/>
        </w:numPr>
        <w:spacing w:line="264" w:lineRule="auto"/>
        <w:jc w:val="both"/>
        <w:rPr>
          <w:b/>
        </w:rPr>
      </w:pPr>
      <w:r>
        <w:t xml:space="preserve">Il faut cependant </w:t>
      </w:r>
      <w:r w:rsidR="001E53B8">
        <w:t xml:space="preserve">y </w:t>
      </w:r>
      <w:r>
        <w:t>ajouter les coûts associés au renforcement du réseau (en transport et surtout en distribution, car il faut accueillir une production plus décentralisée) et au</w:t>
      </w:r>
      <w:r w:rsidR="00063CDF">
        <w:t>x</w:t>
      </w:r>
      <w:r>
        <w:t xml:space="preserve"> moyen</w:t>
      </w:r>
      <w:r w:rsidR="00063CDF">
        <w:t>s</w:t>
      </w:r>
      <w:r>
        <w:t xml:space="preserve"> de « back-up » capables de pallier l’absence de production éolienne ou solaire pendant les périodes de pointe. Ces coûts </w:t>
      </w:r>
      <w:r w:rsidR="00BA6615">
        <w:t xml:space="preserve">croissent avec le caractère décentralisé et intermittent des filières (un peu plus de 5 €/MWh pour l’éolien en mer, environ 20 €/MWh pour l’éolien terrestre et 40 €/MWh pour le </w:t>
      </w:r>
      <w:r w:rsidR="001E53B8">
        <w:t>PV</w:t>
      </w:r>
      <w:r w:rsidR="00BA6615">
        <w:t xml:space="preserve"> au sol).</w:t>
      </w:r>
    </w:p>
    <w:p w:rsidR="00BA6615" w:rsidRPr="002D27F2" w:rsidRDefault="00BA6615" w:rsidP="002D27F2">
      <w:pPr>
        <w:pStyle w:val="Paragraphedeliste"/>
        <w:numPr>
          <w:ilvl w:val="0"/>
          <w:numId w:val="38"/>
        </w:numPr>
        <w:spacing w:line="264" w:lineRule="auto"/>
        <w:jc w:val="both"/>
        <w:rPr>
          <w:b/>
        </w:rPr>
      </w:pPr>
      <w:r>
        <w:t>Au total, on peut retenir les ordres de grandeur de 90 €/MWh pour l’éolien en mer, 75-80 pour l’éolien terrestre et 85 pour le photovoltaïque.</w:t>
      </w:r>
      <w:r w:rsidR="00063CDF">
        <w:t xml:space="preserve"> D’où la moyenne </w:t>
      </w:r>
      <w:r w:rsidR="00200AAB">
        <w:t xml:space="preserve">d’environ </w:t>
      </w:r>
      <w:r w:rsidR="00063CDF">
        <w:t>85 €/MWh.</w:t>
      </w:r>
    </w:p>
    <w:p w:rsidR="006A5C73" w:rsidRDefault="006A5C73" w:rsidP="00917359">
      <w:pPr>
        <w:spacing w:line="264" w:lineRule="auto"/>
        <w:jc w:val="both"/>
        <w:rPr>
          <w:b/>
        </w:rPr>
      </w:pPr>
      <w:r>
        <w:rPr>
          <w:b/>
        </w:rPr>
        <w:t>Les centrales à combustible fossil</w:t>
      </w:r>
      <w:r w:rsidR="00A773D0">
        <w:rPr>
          <w:b/>
        </w:rPr>
        <w:t xml:space="preserve">e pourraient être moins chères … </w:t>
      </w:r>
      <w:r>
        <w:rPr>
          <w:b/>
        </w:rPr>
        <w:t xml:space="preserve">et c’est un problème.  </w:t>
      </w:r>
    </w:p>
    <w:p w:rsidR="006A5C73" w:rsidRDefault="00A773D0" w:rsidP="00A773D0">
      <w:pPr>
        <w:pStyle w:val="Paragraphedeliste"/>
        <w:numPr>
          <w:ilvl w:val="0"/>
          <w:numId w:val="38"/>
        </w:numPr>
        <w:spacing w:line="264" w:lineRule="auto"/>
        <w:jc w:val="both"/>
      </w:pPr>
      <w:r w:rsidRPr="00A773D0">
        <w:t xml:space="preserve">En supposant </w:t>
      </w:r>
      <w:r>
        <w:t xml:space="preserve">à la fois </w:t>
      </w:r>
      <w:r w:rsidRPr="00A773D0">
        <w:t>un</w:t>
      </w:r>
      <w:r>
        <w:t xml:space="preserve"> renchérissement de 50% du prix du gaz par rapport aux 16 €/MWh d’aujourd’hui et une montée à 30 €/tonne du prix du CO</w:t>
      </w:r>
      <w:r w:rsidRPr="009A3DC1">
        <w:rPr>
          <w:vertAlign w:val="subscript"/>
        </w:rPr>
        <w:t>2</w:t>
      </w:r>
      <w:r>
        <w:t xml:space="preserve"> (actuellement figé à 5-10 €/tonne dans le marché européen des permis d’émission), le coût complet de production d’un cycle combiné à gaz, pour une production d’électricité en base, est de l’ordre de 70 €/MWh.</w:t>
      </w:r>
    </w:p>
    <w:p w:rsidR="00A773D0" w:rsidRPr="00A773D0" w:rsidRDefault="001E53B8" w:rsidP="00621F12">
      <w:pPr>
        <w:pStyle w:val="Paragraphedeliste"/>
        <w:numPr>
          <w:ilvl w:val="0"/>
          <w:numId w:val="38"/>
        </w:numPr>
        <w:spacing w:after="360" w:line="264" w:lineRule="auto"/>
        <w:ind w:left="714" w:hanging="357"/>
        <w:jc w:val="both"/>
      </w:pPr>
      <w:r>
        <w:t>Or</w:t>
      </w:r>
      <w:r w:rsidR="00A773D0">
        <w:t xml:space="preserve"> il est souhaitable d’éviter un développement </w:t>
      </w:r>
      <w:r w:rsidR="0091653F">
        <w:t xml:space="preserve">substantiel </w:t>
      </w:r>
      <w:r w:rsidR="00A773D0">
        <w:t>de telles centrales</w:t>
      </w:r>
      <w:r w:rsidR="0091653F">
        <w:t>, car cela créerait pour une trentaine d’années un asservissement à la consommation de gaz, compromettant durablement la politique climatique.</w:t>
      </w:r>
    </w:p>
    <w:p w:rsidR="00FF290D" w:rsidRPr="007A423F" w:rsidRDefault="00F82B9D" w:rsidP="00621F12">
      <w:pPr>
        <w:spacing w:after="360" w:line="264" w:lineRule="auto"/>
        <w:jc w:val="both"/>
        <w:rPr>
          <w:b/>
          <w:i/>
          <w:color w:val="0070C0"/>
          <w:sz w:val="24"/>
        </w:rPr>
      </w:pPr>
      <w:r w:rsidRPr="007A423F">
        <w:rPr>
          <w:b/>
          <w:i/>
          <w:color w:val="0070C0"/>
          <w:sz w:val="24"/>
        </w:rPr>
        <w:t>4.  </w:t>
      </w:r>
      <w:r w:rsidR="00FF290D" w:rsidRPr="007A423F">
        <w:rPr>
          <w:b/>
          <w:i/>
          <w:color w:val="0070C0"/>
          <w:sz w:val="24"/>
        </w:rPr>
        <w:t xml:space="preserve">Les 50% de nucléaire en 2025 ne sont pas </w:t>
      </w:r>
      <w:r w:rsidR="00931687" w:rsidRPr="007A423F">
        <w:rPr>
          <w:b/>
          <w:i/>
          <w:color w:val="0070C0"/>
          <w:sz w:val="24"/>
        </w:rPr>
        <w:t>sérieux, pas plus que le maintien sine die de 63 GW</w:t>
      </w:r>
    </w:p>
    <w:p w:rsidR="004E4BCF" w:rsidRDefault="00F61D4D" w:rsidP="00917359">
      <w:pPr>
        <w:spacing w:line="264" w:lineRule="auto"/>
        <w:jc w:val="both"/>
      </w:pPr>
      <w:r w:rsidRPr="002C7E4F">
        <w:rPr>
          <w:b/>
        </w:rPr>
        <w:t xml:space="preserve">Réduire </w:t>
      </w:r>
      <w:r w:rsidR="00337679">
        <w:rPr>
          <w:b/>
        </w:rPr>
        <w:t xml:space="preserve">la part du nucléaire </w:t>
      </w:r>
      <w:r w:rsidRPr="002C7E4F">
        <w:rPr>
          <w:b/>
        </w:rPr>
        <w:t>à 50%</w:t>
      </w:r>
      <w:r w:rsidR="00337679">
        <w:rPr>
          <w:b/>
        </w:rPr>
        <w:t xml:space="preserve"> de la production d’électricité en 2</w:t>
      </w:r>
      <w:r w:rsidRPr="002C7E4F">
        <w:rPr>
          <w:b/>
        </w:rPr>
        <w:t>025</w:t>
      </w:r>
      <w:r w:rsidR="00337679">
        <w:rPr>
          <w:b/>
        </w:rPr>
        <w:t xml:space="preserve">, ce qui revient à déclasser environ 22 GW, </w:t>
      </w:r>
      <w:r w:rsidRPr="002C7E4F">
        <w:rPr>
          <w:b/>
        </w:rPr>
        <w:t>n’est pas réaliste</w:t>
      </w:r>
      <w:r>
        <w:t xml:space="preserve">. </w:t>
      </w:r>
      <w:r w:rsidR="00337679">
        <w:t>On y parvient certes en arrêtant toutes les tranches au moment de leur quatrième visite décennale (voir figure 1)</w:t>
      </w:r>
      <w:r w:rsidR="004E4BCF">
        <w:t>, mais :</w:t>
      </w:r>
    </w:p>
    <w:p w:rsidR="00F61D4D" w:rsidRDefault="002C7E4F" w:rsidP="004E4BCF">
      <w:pPr>
        <w:pStyle w:val="Paragraphedeliste"/>
        <w:numPr>
          <w:ilvl w:val="0"/>
          <w:numId w:val="38"/>
        </w:numPr>
        <w:spacing w:line="264" w:lineRule="auto"/>
        <w:jc w:val="both"/>
      </w:pPr>
      <w:r>
        <w:t xml:space="preserve">aucune solution </w:t>
      </w:r>
      <w:r w:rsidR="00A44891">
        <w:t>acceptable</w:t>
      </w:r>
      <w:r>
        <w:t xml:space="preserve"> ne permet de remplacer </w:t>
      </w:r>
      <w:r w:rsidR="00337679">
        <w:t xml:space="preserve">les </w:t>
      </w:r>
      <w:r>
        <w:t xml:space="preserve">140 TWh de production </w:t>
      </w:r>
      <w:r w:rsidR="004E4BCF">
        <w:t>effacés en</w:t>
      </w:r>
      <w:r>
        <w:t xml:space="preserve"> </w:t>
      </w:r>
      <w:r w:rsidR="00337679">
        <w:t>2025. La figure 2 montre l’évolution du mix de production qui en résulte</w:t>
      </w:r>
      <w:r w:rsidR="009A3DC1">
        <w:rPr>
          <w:rStyle w:val="Marquenotebasdepage"/>
        </w:rPr>
        <w:footnoteReference w:id="6"/>
      </w:r>
      <w:r w:rsidR="00337679">
        <w:t xml:space="preserve">. Le développement des ENR est pourtant calé sur le scénario haut de la PPE (ce qui appelle </w:t>
      </w:r>
      <w:r w:rsidR="004E4BCF">
        <w:t>quelque 50 </w:t>
      </w:r>
      <w:r w:rsidR="00337679">
        <w:t xml:space="preserve">Md€ d’investissement) et l’on a supposé une </w:t>
      </w:r>
      <w:r w:rsidR="004E4BCF">
        <w:t>baisse</w:t>
      </w:r>
      <w:r w:rsidR="00337679">
        <w:t xml:space="preserve"> de la consommation</w:t>
      </w:r>
      <w:r w:rsidR="004E4BCF">
        <w:t xml:space="preserve"> (en pariant que l’efficacité énergétique progresse plus vite que les nouveaux usages de l’électricité)</w:t>
      </w:r>
      <w:r w:rsidR="00337679">
        <w:t xml:space="preserve">. </w:t>
      </w:r>
      <w:r w:rsidR="004E4BCF">
        <w:t>Néanmoins</w:t>
      </w:r>
      <w:r w:rsidR="00337679">
        <w:t>, la production fossile doit plus que doubler (que ce soit via de nouvelles centrales à gaz en France, ou via des importations qui seraient de fait alimentées</w:t>
      </w:r>
      <w:r w:rsidR="004E4BCF">
        <w:t xml:space="preserve"> par du charbon ou du gaz d</w:t>
      </w:r>
      <w:r w:rsidR="00337679">
        <w:t xml:space="preserve">es pays voisins), </w:t>
      </w:r>
      <w:r w:rsidR="009A3DC1">
        <w:t>et de même les émissions de CO</w:t>
      </w:r>
      <w:r w:rsidR="009A3DC1" w:rsidRPr="004E4BCF">
        <w:rPr>
          <w:vertAlign w:val="subscript"/>
        </w:rPr>
        <w:t>2</w:t>
      </w:r>
      <w:r w:rsidR="004E4BCF">
        <w:t> ;</w:t>
      </w:r>
    </w:p>
    <w:p w:rsidR="004E4BCF" w:rsidRDefault="004E4BCF" w:rsidP="002B1BB8">
      <w:pPr>
        <w:pStyle w:val="Paragraphedeliste"/>
        <w:numPr>
          <w:ilvl w:val="0"/>
          <w:numId w:val="38"/>
        </w:numPr>
        <w:spacing w:after="360" w:line="264" w:lineRule="auto"/>
        <w:ind w:left="714" w:hanging="357"/>
        <w:jc w:val="both"/>
      </w:pPr>
      <w:r>
        <w:t xml:space="preserve">la mise à l’arrêt </w:t>
      </w:r>
      <w:r w:rsidR="00BD7C58">
        <w:t xml:space="preserve">dès 2018 </w:t>
      </w:r>
      <w:r>
        <w:t>de quatre tranches pa</w:t>
      </w:r>
      <w:r w:rsidR="00BD7C58">
        <w:t>r</w:t>
      </w:r>
      <w:r>
        <w:t xml:space="preserve"> an se heurterait à un total état d’impréparation industrielle et sociale, pour EDF</w:t>
      </w:r>
      <w:r w:rsidR="00BD7C58">
        <w:t>, pour les sous-traitants et po</w:t>
      </w:r>
      <w:r>
        <w:t>ur les territoires concernés.</w:t>
      </w:r>
    </w:p>
    <w:p w:rsidR="009A3DC1" w:rsidRPr="009A3DC1" w:rsidRDefault="009A3DC1" w:rsidP="009A3DC1">
      <w:pPr>
        <w:spacing w:line="264" w:lineRule="auto"/>
        <w:jc w:val="center"/>
        <w:rPr>
          <w:i/>
        </w:rPr>
      </w:pPr>
      <w:r w:rsidRPr="009A3DC1">
        <w:rPr>
          <w:i/>
        </w:rPr>
        <w:t>Figure 2 : évolution du mix de production électrique sous l’hypothèse « 50% de nucléaire en 2025 »</w:t>
      </w:r>
    </w:p>
    <w:p w:rsidR="009A3DC1" w:rsidRDefault="009A3DC1" w:rsidP="00F82B9D">
      <w:pPr>
        <w:spacing w:after="360" w:line="264" w:lineRule="auto"/>
        <w:jc w:val="center"/>
      </w:pPr>
      <w:r>
        <w:rPr>
          <w:noProof/>
          <w:lang w:eastAsia="fr-FR"/>
        </w:rPr>
        <mc:AlternateContent>
          <mc:Choice Requires="wps">
            <w:drawing>
              <wp:anchor distT="0" distB="0" distL="114300" distR="114300" simplePos="0" relativeHeight="251659264" behindDoc="0" locked="0" layoutInCell="1" allowOverlap="1" wp14:anchorId="16019AC8" wp14:editId="569BBB34">
                <wp:simplePos x="0" y="0"/>
                <wp:positionH relativeFrom="column">
                  <wp:posOffset>427990</wp:posOffset>
                </wp:positionH>
                <wp:positionV relativeFrom="paragraph">
                  <wp:posOffset>23231</wp:posOffset>
                </wp:positionV>
                <wp:extent cx="514350" cy="2762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143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61CA" w:rsidRPr="009A3DC1" w:rsidRDefault="000061CA" w:rsidP="009A3DC1">
                            <w:pPr>
                              <w:rPr>
                                <w:sz w:val="18"/>
                              </w:rPr>
                            </w:pPr>
                            <w:r w:rsidRPr="009A3DC1">
                              <w:rPr>
                                <w:sz w:val="18"/>
                              </w:rPr>
                              <w:t>TWh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3" o:spid="_x0000_s1026" type="#_x0000_t202" style="position:absolute;left:0;text-align:left;margin-left:33.7pt;margin-top:1.85pt;width:4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" filled="f" stroked="f" strokeweight=".5pt">
                <v:textbox>
                  <w:txbxContent>
                    <w:p w:rsidR="000061CA" w:rsidRPr="009A3DC1" w:rsidRDefault="000061CA" w:rsidP="009A3DC1">
                      <w:pPr>
                        <w:rPr>
                          <w:sz w:val="18"/>
                        </w:rPr>
                      </w:pPr>
                      <w:r w:rsidRPr="009A3DC1">
                        <w:rPr>
                          <w:sz w:val="18"/>
                        </w:rPr>
                        <w:t>TWh</w:t>
                      </w:r>
                    </w:p>
                  </w:txbxContent>
                </v:textbox>
              </v:shape>
            </w:pict>
          </mc:Fallback>
        </mc:AlternateContent>
      </w:r>
      <w:r w:rsidR="00DB4682">
        <w:rPr>
          <w:noProof/>
          <w:lang w:eastAsia="fr-FR"/>
        </w:rPr>
        <w:drawing>
          <wp:inline distT="0" distB="0" distL="0" distR="0" wp14:anchorId="2F699DD9" wp14:editId="01D94D27">
            <wp:extent cx="5654303" cy="2623185"/>
            <wp:effectExtent l="0" t="0" r="3810" b="571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D7C58" w:rsidRDefault="008448A7" w:rsidP="00F82B9D">
      <w:pPr>
        <w:spacing w:before="120" w:line="264" w:lineRule="auto"/>
        <w:jc w:val="both"/>
      </w:pPr>
      <w:r w:rsidRPr="001C0382">
        <w:rPr>
          <w:b/>
        </w:rPr>
        <w:t>Cependant, un statu quo (63 GW, ou à peine moins) prolongé par inaction jusqu’en 2030, puis 2035 … n’est pas satisfaisant </w:t>
      </w:r>
      <w:r w:rsidR="00BD7C58">
        <w:t>à plusieurs égards et met en impasse notre politique énergétique.</w:t>
      </w:r>
    </w:p>
    <w:p w:rsidR="008448A7" w:rsidRDefault="008448A7" w:rsidP="005564B7">
      <w:pPr>
        <w:pStyle w:val="Paragraphedeliste"/>
        <w:numPr>
          <w:ilvl w:val="0"/>
          <w:numId w:val="38"/>
        </w:numPr>
        <w:spacing w:line="264" w:lineRule="auto"/>
        <w:jc w:val="both"/>
      </w:pPr>
      <w:r>
        <w:t xml:space="preserve">Il faudra apprendre à </w:t>
      </w:r>
      <w:r w:rsidR="00F32523">
        <w:t xml:space="preserve">anticiper et </w:t>
      </w:r>
      <w:r>
        <w:t>gé</w:t>
      </w:r>
      <w:r w:rsidR="00BD7C58">
        <w:t xml:space="preserve">rer la fin de vie d’un appareil </w:t>
      </w:r>
      <w:r>
        <w:t xml:space="preserve">aussi </w:t>
      </w:r>
      <w:r w:rsidR="00F32523">
        <w:t>lourd</w:t>
      </w:r>
      <w:r w:rsidR="00774445">
        <w:t>. Cinquante tranches ont été construites en douze ans, il s’est mis en place un tissu industriel au niveau national et local (autour de 19 sites de production), qui emploie, directement ou indirectement, près de 200 000 personnes.</w:t>
      </w:r>
      <w:r w:rsidR="00126729">
        <w:t xml:space="preserve"> </w:t>
      </w:r>
      <w:r w:rsidR="00774445">
        <w:t>Organiser les arrêts d’exploitation, préparer les reconversions humaines et économiques, lanc</w:t>
      </w:r>
      <w:r w:rsidR="0052041E">
        <w:t>er les travaux de démantèlement</w:t>
      </w:r>
      <w:r w:rsidR="00774445">
        <w:t xml:space="preserve"> … ne pourra pas se faire au même rythme. </w:t>
      </w:r>
      <w:r w:rsidR="0052041E">
        <w:t>Prolonger toutes les tranches, ou presque toutes, jusqu’à 50 années de durée de vie semble techniquement possible, mais une « falaise » d’arrêts pourrait se présenter à partir de 2030 et elle ferait des dégâts. C</w:t>
      </w:r>
      <w:r w:rsidR="00126729">
        <w:t xml:space="preserve">ommencer </w:t>
      </w:r>
      <w:r w:rsidR="0052041E">
        <w:t xml:space="preserve">le repli, à un rythme maîtrisé et anticipé, est donc souhaitable </w:t>
      </w:r>
      <w:r w:rsidR="00A06675">
        <w:t>dans la décennie 2020. Cela p</w:t>
      </w:r>
      <w:r w:rsidR="00A44891">
        <w:t>ermettra de plus à EDF de préparer</w:t>
      </w:r>
      <w:r w:rsidR="00A06675">
        <w:t xml:space="preserve"> au mieux les arbitrages entre arrêter certaines tranches </w:t>
      </w:r>
      <w:r w:rsidR="00B73AF8">
        <w:t>et</w:t>
      </w:r>
      <w:r w:rsidR="00A06675">
        <w:t xml:space="preserve"> en prolonger d’autres.</w:t>
      </w:r>
    </w:p>
    <w:p w:rsidR="00126729" w:rsidRDefault="00B73AF8" w:rsidP="005564B7">
      <w:pPr>
        <w:pStyle w:val="Paragraphedeliste"/>
        <w:numPr>
          <w:ilvl w:val="0"/>
          <w:numId w:val="38"/>
        </w:numPr>
        <w:spacing w:line="264" w:lineRule="auto"/>
        <w:jc w:val="both"/>
      </w:pPr>
      <w:r>
        <w:t>A l’horizon de l’actuelle PPE (2023), il serait encore possible de faire coexister un parc nucléaire de 63 GW et un parc éolien – photovoltaïque accru selon les ambitions programmées. En effet, les capacités d’interconnexion avec les pays voisins, y compris l’accroissement prévu par RTE, permettent d’exporter physiquement un fort excédent d’offre sur la demande française, tandis que, d’un point de vue économique</w:t>
      </w:r>
      <w:r w:rsidR="005564B7">
        <w:rPr>
          <w:rStyle w:val="Marquenotebasdepage"/>
        </w:rPr>
        <w:footnoteReference w:id="7"/>
      </w:r>
      <w:r>
        <w:t>, il y a toujours intérêt à préférer une production</w:t>
      </w:r>
      <w:r w:rsidR="005564B7">
        <w:t xml:space="preserve"> à coût variable nul (ENR) ou très faible (nucléaire) à une production issue d’un combustible fossile ; il en résulterait un solde exportateur élevé, plus de 20% de la consommation française. Les limites du système seraient cependant atteintes et un développement continué des renouvelables, vers l’objectif de la LTECV pour 2030</w:t>
      </w:r>
      <w:r w:rsidR="005564B7">
        <w:rPr>
          <w:rStyle w:val="Marquenotebasdepage"/>
        </w:rPr>
        <w:footnoteReference w:id="8"/>
      </w:r>
      <w:r w:rsidR="005564B7">
        <w:t xml:space="preserve">, </w:t>
      </w:r>
      <w:r w:rsidR="00FB5BDD">
        <w:t>pouvant bénéficier des gains de productivité de ces filières, serait alors brimé par une offre nucléaire</w:t>
      </w:r>
      <w:r w:rsidR="00FC2EE5">
        <w:t xml:space="preserve"> excessive</w:t>
      </w:r>
      <w:r w:rsidR="00FB5BDD">
        <w:t>, les capacités ne trouvant plus de débouché</w:t>
      </w:r>
      <w:r w:rsidR="00126729">
        <w:t>.</w:t>
      </w:r>
    </w:p>
    <w:p w:rsidR="00126729" w:rsidRDefault="00762E74" w:rsidP="005564B7">
      <w:pPr>
        <w:pStyle w:val="Paragraphedeliste"/>
        <w:numPr>
          <w:ilvl w:val="0"/>
          <w:numId w:val="38"/>
        </w:numPr>
        <w:spacing w:line="264" w:lineRule="auto"/>
        <w:jc w:val="both"/>
      </w:pPr>
      <w:r>
        <w:t>Enfin, n</w:t>
      </w:r>
      <w:r w:rsidR="00126729">
        <w:t>ous ne sommes pas seuls en Europe</w:t>
      </w:r>
      <w:r w:rsidR="00FB5BDD">
        <w:t xml:space="preserve">. </w:t>
      </w:r>
      <w:r>
        <w:t xml:space="preserve">Nombre d’acteurs affirment, à juste titre, que le </w:t>
      </w:r>
      <w:r w:rsidR="00FC2EE5">
        <w:t xml:space="preserve">moteur du </w:t>
      </w:r>
      <w:r>
        <w:t>marché de court terme ne suffira pas à faire progresser une Europe de l’énergie, et que bâtir une meilleure architecture passe par une visibilité à long terme que doivent réciproquement se donner les Etats-membres. Un</w:t>
      </w:r>
      <w:r w:rsidR="00126729">
        <w:t xml:space="preserve"> engagement de réduction du nucléaire </w:t>
      </w:r>
      <w:r w:rsidR="001C0382">
        <w:t xml:space="preserve">(pas nécessairement massif, mais tangible et crédible) </w:t>
      </w:r>
      <w:r w:rsidR="00126729">
        <w:t xml:space="preserve">peut </w:t>
      </w:r>
      <w:r>
        <w:t>de plus être</w:t>
      </w:r>
      <w:r w:rsidR="00126729">
        <w:t xml:space="preserve"> la contrepartie de coopérations gagnantes avec l’Allemagne en particulier</w:t>
      </w:r>
      <w:r>
        <w:t>, notamment pour discuter de la place du charbon et du lignite, encore prépondérante outre-Rhin</w:t>
      </w:r>
      <w:r w:rsidR="00FC2EE5">
        <w:t>,</w:t>
      </w:r>
      <w:r>
        <w:t xml:space="preserve"> et pour faciliter une proposition franco-allemande améliorant les instruments de la politique climatique européenne, en premier lieu le très peu efficace </w:t>
      </w:r>
      <w:r w:rsidR="00FC2EE5">
        <w:t>marché</w:t>
      </w:r>
      <w:r>
        <w:t xml:space="preserve"> de</w:t>
      </w:r>
      <w:r w:rsidR="00FC2EE5">
        <w:t>s</w:t>
      </w:r>
      <w:r>
        <w:t xml:space="preserve"> permis d’émission</w:t>
      </w:r>
      <w:r w:rsidR="00FC2EE5">
        <w:t xml:space="preserve"> de CO</w:t>
      </w:r>
      <w:r w:rsidR="00FC2EE5" w:rsidRPr="00FC2EE5">
        <w:rPr>
          <w:vertAlign w:val="subscript"/>
        </w:rPr>
        <w:t>2</w:t>
      </w:r>
      <w:r>
        <w:t xml:space="preserve">. </w:t>
      </w:r>
    </w:p>
    <w:p w:rsidR="00126729" w:rsidRDefault="00687C49" w:rsidP="00687C49">
      <w:pPr>
        <w:spacing w:after="600" w:line="264" w:lineRule="auto"/>
        <w:jc w:val="both"/>
      </w:pPr>
      <w:r>
        <w:rPr>
          <w:noProof/>
          <w:lang w:eastAsia="fr-FR"/>
        </w:rPr>
        <mc:AlternateContent>
          <mc:Choice Requires="wps">
            <w:drawing>
              <wp:anchor distT="0" distB="0" distL="114300" distR="114300" simplePos="0" relativeHeight="251660288" behindDoc="0" locked="0" layoutInCell="1" allowOverlap="1" wp14:anchorId="087170F1" wp14:editId="030681A2">
                <wp:simplePos x="0" y="0"/>
                <wp:positionH relativeFrom="column">
                  <wp:posOffset>3810</wp:posOffset>
                </wp:positionH>
                <wp:positionV relativeFrom="paragraph">
                  <wp:posOffset>1920240</wp:posOffset>
                </wp:positionV>
                <wp:extent cx="6153150" cy="15430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153150" cy="1543050"/>
                        </a:xfrm>
                        <a:prstGeom prst="rect">
                          <a:avLst/>
                        </a:prstGeom>
                        <a:noFill/>
                        <a:ln w="6350">
                          <a:solidFill>
                            <a:srgbClr val="25A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pt;margin-top:151.2pt;width:484.5pt;height:12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" filled="f" strokecolor="#25a2ff" strokeweight=".5pt"/>
            </w:pict>
          </mc:Fallback>
        </mc:AlternateContent>
      </w:r>
      <w:r w:rsidR="00762E74">
        <w:t xml:space="preserve">Face à la perspective de réduire la production du parc nucléaire, l’argument du faible coût </w:t>
      </w:r>
      <w:r w:rsidR="00126729">
        <w:t xml:space="preserve">est réel, mais doit être mesuré pour être bien apprécié. </w:t>
      </w:r>
      <w:r w:rsidR="008F36D9">
        <w:t xml:space="preserve">Nous avons chiffré à environ 50 €/MWh l’écart entre le coût du nucléaire existant et celui du développement de renouvelables. Si cet écart porte sur le tiers de l’actuelle production nucléaire, l’effet sera de + 16 à 17 €/MWh sur la facture du consommateur. Cela représente </w:t>
      </w:r>
      <w:r>
        <w:t>environ</w:t>
      </w:r>
      <w:r w:rsidR="008F36D9">
        <w:t xml:space="preserve"> 10% de prix de l’électricité pour un ménage</w:t>
      </w:r>
      <w:r>
        <w:rPr>
          <w:rStyle w:val="Marquenotebasdepage"/>
        </w:rPr>
        <w:footnoteReference w:id="9"/>
      </w:r>
      <w:r>
        <w:t> et + 35% pour un industriel fort consommateur : des chiffres non négligeables, mais pas insupportables non plus si la hausse est graduelle. De plus, même sans réduction programmée du nucléaire, il faudra à terme payer pour le développement des moyens neufs que requiert l’arrivée en obsolescence technique ou environnementale d’une grande partie des parcs européens ; ce terme n’est pas demain, en raison du</w:t>
      </w:r>
      <w:r w:rsidR="00F82B9D">
        <w:t xml:space="preserve"> suréquipement actuel, mais </w:t>
      </w:r>
      <w:r w:rsidR="00FC2EE5">
        <w:t>plutôt vers 2025-2030</w:t>
      </w:r>
      <w:r w:rsidR="00F82B9D">
        <w:t>.</w:t>
      </w:r>
      <w:r>
        <w:t xml:space="preserve"> </w:t>
      </w:r>
    </w:p>
    <w:p w:rsidR="002B1BB8" w:rsidRDefault="002B1BB8" w:rsidP="00451EF9">
      <w:pPr>
        <w:spacing w:after="120" w:line="264" w:lineRule="auto"/>
        <w:ind w:left="142" w:right="140"/>
        <w:rPr>
          <w:i/>
        </w:rPr>
      </w:pPr>
      <w:r w:rsidRPr="007A423F">
        <w:rPr>
          <w:b/>
          <w:i/>
          <w:color w:val="0070C0"/>
        </w:rPr>
        <w:t>Proposition 1 :</w:t>
      </w:r>
      <w:r w:rsidRPr="007A423F">
        <w:rPr>
          <w:i/>
          <w:color w:val="0070C0"/>
        </w:rPr>
        <w:t xml:space="preserve"> </w:t>
      </w:r>
      <w:r>
        <w:rPr>
          <w:i/>
        </w:rPr>
        <w:t>définir un schéma réaliste de réduction de la dépendance au nucléaire</w:t>
      </w:r>
    </w:p>
    <w:p w:rsidR="002B1BB8" w:rsidRPr="00451EF9" w:rsidRDefault="002B1BB8" w:rsidP="00451EF9">
      <w:pPr>
        <w:pStyle w:val="Paragraphedeliste"/>
        <w:numPr>
          <w:ilvl w:val="0"/>
          <w:numId w:val="42"/>
        </w:numPr>
        <w:spacing w:after="120" w:line="264" w:lineRule="auto"/>
        <w:ind w:left="567" w:right="140" w:hanging="283"/>
        <w:jc w:val="both"/>
        <w:rPr>
          <w:i/>
        </w:rPr>
      </w:pPr>
      <w:r w:rsidRPr="00451EF9">
        <w:rPr>
          <w:i/>
        </w:rPr>
        <w:t>P</w:t>
      </w:r>
      <w:r w:rsidR="001C0382" w:rsidRPr="00451EF9">
        <w:rPr>
          <w:i/>
        </w:rPr>
        <w:t>rogrammer l’</w:t>
      </w:r>
      <w:r w:rsidRPr="00451EF9">
        <w:rPr>
          <w:i/>
        </w:rPr>
        <w:t>arrêt de 2 à 4</w:t>
      </w:r>
      <w:r w:rsidR="001C0382" w:rsidRPr="00451EF9">
        <w:rPr>
          <w:i/>
        </w:rPr>
        <w:t xml:space="preserve"> tranches dura</w:t>
      </w:r>
      <w:r w:rsidR="00FC2EE5">
        <w:rPr>
          <w:i/>
        </w:rPr>
        <w:t>nt le quinquennat (en sus de Fessenheim</w:t>
      </w:r>
      <w:r w:rsidR="001C0382" w:rsidRPr="00451EF9">
        <w:rPr>
          <w:i/>
        </w:rPr>
        <w:t>), EDF pouvant décider quelles tranches au vu des dossiers de VD4 et en maxim</w:t>
      </w:r>
      <w:r w:rsidRPr="00451EF9">
        <w:rPr>
          <w:i/>
        </w:rPr>
        <w:t>isant les dépenses évitées</w:t>
      </w:r>
      <w:r w:rsidR="00A44891">
        <w:rPr>
          <w:i/>
        </w:rPr>
        <w:t>.</w:t>
      </w:r>
    </w:p>
    <w:p w:rsidR="002B1BB8" w:rsidRPr="00451EF9" w:rsidRDefault="002B1BB8" w:rsidP="00451EF9">
      <w:pPr>
        <w:pStyle w:val="Paragraphedeliste"/>
        <w:numPr>
          <w:ilvl w:val="0"/>
          <w:numId w:val="42"/>
        </w:numPr>
        <w:spacing w:after="120" w:line="264" w:lineRule="auto"/>
        <w:ind w:left="567" w:right="140" w:hanging="283"/>
        <w:jc w:val="both"/>
        <w:rPr>
          <w:i/>
        </w:rPr>
      </w:pPr>
      <w:r w:rsidRPr="00451EF9">
        <w:rPr>
          <w:i/>
        </w:rPr>
        <w:t>F</w:t>
      </w:r>
      <w:r w:rsidR="001C0382" w:rsidRPr="00451EF9">
        <w:rPr>
          <w:i/>
        </w:rPr>
        <w:t xml:space="preserve">ixer un </w:t>
      </w:r>
      <w:r w:rsidR="00CF0629" w:rsidRPr="00451EF9">
        <w:rPr>
          <w:i/>
        </w:rPr>
        <w:t>schéma</w:t>
      </w:r>
      <w:r w:rsidR="001C0382" w:rsidRPr="00451EF9">
        <w:rPr>
          <w:i/>
        </w:rPr>
        <w:t xml:space="preserve"> </w:t>
      </w:r>
      <w:r w:rsidR="00CF0629" w:rsidRPr="00451EF9">
        <w:rPr>
          <w:i/>
        </w:rPr>
        <w:t>de 1 à 2 tranches arrêtées par an entre 2023 et 2030, la trajectoire haute ou basse pouvant résulter des informations acquises dans les années à venir (coûts, d</w:t>
      </w:r>
      <w:r w:rsidRPr="00451EF9">
        <w:rPr>
          <w:i/>
        </w:rPr>
        <w:t xml:space="preserve">emande d’électricité, …). </w:t>
      </w:r>
    </w:p>
    <w:p w:rsidR="008571D2" w:rsidRPr="00451EF9" w:rsidRDefault="002B1BB8" w:rsidP="00451EF9">
      <w:pPr>
        <w:pStyle w:val="Paragraphedeliste"/>
        <w:numPr>
          <w:ilvl w:val="0"/>
          <w:numId w:val="42"/>
        </w:numPr>
        <w:spacing w:line="264" w:lineRule="auto"/>
        <w:ind w:left="567" w:right="140" w:hanging="283"/>
        <w:jc w:val="both"/>
        <w:rPr>
          <w:i/>
        </w:rPr>
      </w:pPr>
      <w:r w:rsidRPr="00451EF9">
        <w:rPr>
          <w:i/>
        </w:rPr>
        <w:t>Une part de 50</w:t>
      </w:r>
      <w:r w:rsidR="00CF0629" w:rsidRPr="00451EF9">
        <w:rPr>
          <w:i/>
        </w:rPr>
        <w:t xml:space="preserve">% de nucléaire dans le mix </w:t>
      </w:r>
      <w:r w:rsidRPr="00451EF9">
        <w:rPr>
          <w:i/>
        </w:rPr>
        <w:t xml:space="preserve">est ainsi atteinte </w:t>
      </w:r>
      <w:r w:rsidR="00BD7C58">
        <w:rPr>
          <w:i/>
        </w:rPr>
        <w:t xml:space="preserve">en </w:t>
      </w:r>
      <w:r w:rsidRPr="00451EF9">
        <w:rPr>
          <w:i/>
        </w:rPr>
        <w:t xml:space="preserve">2030 </w:t>
      </w:r>
      <w:r w:rsidR="00BD7C58">
        <w:rPr>
          <w:i/>
        </w:rPr>
        <w:t xml:space="preserve">ou </w:t>
      </w:r>
      <w:r w:rsidRPr="00451EF9">
        <w:rPr>
          <w:i/>
        </w:rPr>
        <w:t>un peu après 2035</w:t>
      </w:r>
      <w:r w:rsidR="00CF0629" w:rsidRPr="00451EF9">
        <w:rPr>
          <w:i/>
        </w:rPr>
        <w:t>.</w:t>
      </w:r>
    </w:p>
    <w:p w:rsidR="00A1201F" w:rsidRDefault="00A1201F" w:rsidP="007A423F">
      <w:pPr>
        <w:spacing w:after="360" w:line="264" w:lineRule="auto"/>
        <w:jc w:val="both"/>
        <w:rPr>
          <w:b/>
          <w:i/>
          <w:color w:val="0070C0"/>
          <w:sz w:val="24"/>
        </w:rPr>
      </w:pPr>
    </w:p>
    <w:p w:rsidR="00F82B9D" w:rsidRPr="007A423F" w:rsidRDefault="007A423F" w:rsidP="007A423F">
      <w:pPr>
        <w:spacing w:after="360" w:line="264" w:lineRule="auto"/>
        <w:jc w:val="both"/>
        <w:rPr>
          <w:b/>
          <w:i/>
          <w:color w:val="0070C0"/>
          <w:sz w:val="24"/>
        </w:rPr>
      </w:pPr>
      <w:r>
        <w:rPr>
          <w:b/>
          <w:i/>
          <w:color w:val="0070C0"/>
          <w:sz w:val="24"/>
        </w:rPr>
        <w:t>5.  </w:t>
      </w:r>
      <w:r w:rsidR="00F82B9D" w:rsidRPr="007A423F">
        <w:rPr>
          <w:b/>
          <w:i/>
          <w:color w:val="0070C0"/>
          <w:sz w:val="24"/>
        </w:rPr>
        <w:t xml:space="preserve">Faut-il remplacer des tranches arrêtées par du nucléaire neuf ? </w:t>
      </w:r>
      <w:r>
        <w:rPr>
          <w:b/>
          <w:i/>
          <w:color w:val="0070C0"/>
          <w:sz w:val="24"/>
        </w:rPr>
        <w:t>La</w:t>
      </w:r>
      <w:r w:rsidR="00F82B9D" w:rsidRPr="007A423F">
        <w:rPr>
          <w:b/>
          <w:i/>
          <w:color w:val="0070C0"/>
          <w:sz w:val="24"/>
        </w:rPr>
        <w:t xml:space="preserve"> précipitation </w:t>
      </w:r>
      <w:r>
        <w:rPr>
          <w:b/>
          <w:i/>
          <w:color w:val="0070C0"/>
          <w:sz w:val="24"/>
        </w:rPr>
        <w:t>est</w:t>
      </w:r>
      <w:r w:rsidR="00F82B9D" w:rsidRPr="007A423F">
        <w:rPr>
          <w:b/>
          <w:i/>
          <w:color w:val="0070C0"/>
          <w:sz w:val="24"/>
        </w:rPr>
        <w:t xml:space="preserve"> périlleuse</w:t>
      </w:r>
    </w:p>
    <w:p w:rsidR="007B3316" w:rsidRDefault="007B3316" w:rsidP="00917359">
      <w:pPr>
        <w:spacing w:line="264" w:lineRule="auto"/>
        <w:jc w:val="both"/>
      </w:pPr>
      <w:r w:rsidRPr="00645E24">
        <w:rPr>
          <w:b/>
        </w:rPr>
        <w:t xml:space="preserve">A court terme, il n’y </w:t>
      </w:r>
      <w:r w:rsidR="00645E24" w:rsidRPr="00645E24">
        <w:rPr>
          <w:b/>
        </w:rPr>
        <w:t xml:space="preserve">a ni offre satisfaisante, ni </w:t>
      </w:r>
      <w:r w:rsidRPr="00645E24">
        <w:rPr>
          <w:b/>
        </w:rPr>
        <w:t>besoin</w:t>
      </w:r>
      <w:r w:rsidR="0068014C" w:rsidRPr="00645E24">
        <w:rPr>
          <w:b/>
        </w:rPr>
        <w:t xml:space="preserve"> avéré</w:t>
      </w:r>
      <w:r w:rsidRPr="00645E24">
        <w:rPr>
          <w:b/>
        </w:rPr>
        <w:t>.</w:t>
      </w:r>
      <w:r>
        <w:t xml:space="preserve"> Par court terme, on entend un projet </w:t>
      </w:r>
      <w:r w:rsidR="00771211">
        <w:t xml:space="preserve">de nouvelle tranche nucléaire </w:t>
      </w:r>
      <w:r>
        <w:t>qui serait lancé sans délai, avec une décision d’investissement en 2020 et une mise en service en 2030 : c’est un calendrier au plus tôt.</w:t>
      </w:r>
    </w:p>
    <w:p w:rsidR="00417678" w:rsidRDefault="0068014C" w:rsidP="0068014C">
      <w:pPr>
        <w:pStyle w:val="Paragraphedeliste"/>
        <w:numPr>
          <w:ilvl w:val="0"/>
          <w:numId w:val="38"/>
        </w:numPr>
        <w:spacing w:line="264" w:lineRule="auto"/>
        <w:jc w:val="both"/>
      </w:pPr>
      <w:r>
        <w:t xml:space="preserve">Le modèle disponible est un EPR dont la conception ne </w:t>
      </w:r>
      <w:r w:rsidR="00645E24">
        <w:t>pourra</w:t>
      </w:r>
      <w:r>
        <w:t xml:space="preserve"> guère </w:t>
      </w:r>
      <w:r w:rsidR="00645E24">
        <w:t xml:space="preserve">être </w:t>
      </w:r>
      <w:r>
        <w:t>modifiée.</w:t>
      </w:r>
      <w:r w:rsidR="00417678">
        <w:t xml:space="preserve"> </w:t>
      </w:r>
      <w:r w:rsidR="00645E24">
        <w:t>Aucune assurance d’un</w:t>
      </w:r>
      <w:r>
        <w:t xml:space="preserve"> coût d</w:t>
      </w:r>
      <w:r w:rsidR="00417678">
        <w:t xml:space="preserve">e revient </w:t>
      </w:r>
      <w:r w:rsidR="00645E24">
        <w:t>inférieur</w:t>
      </w:r>
      <w:r w:rsidR="00417678">
        <w:t xml:space="preserve"> à 100 €/MWh et</w:t>
      </w:r>
      <w:r>
        <w:t xml:space="preserve"> un</w:t>
      </w:r>
      <w:r w:rsidR="00417678">
        <w:t>e maîtrise technique non prouvée (comme en témoigne le problème de qualité métallurgique des cuves) font d</w:t>
      </w:r>
      <w:r w:rsidR="00FC2EE5">
        <w:t>outer de la qualité de l’offre.</w:t>
      </w:r>
    </w:p>
    <w:p w:rsidR="0068014C" w:rsidRDefault="00417678" w:rsidP="0068014C">
      <w:pPr>
        <w:pStyle w:val="Paragraphedeliste"/>
        <w:numPr>
          <w:ilvl w:val="0"/>
          <w:numId w:val="38"/>
        </w:numPr>
        <w:spacing w:line="264" w:lineRule="auto"/>
        <w:jc w:val="both"/>
      </w:pPr>
      <w:r>
        <w:t>Entre développement des renouvelables – devenus moins chers que l’EPR</w:t>
      </w:r>
      <w:r w:rsidR="00645E24">
        <w:t>, coût de l’intermittence compris</w:t>
      </w:r>
      <w:r>
        <w:t xml:space="preserve"> – et efficacité énergétique, le besoin d’une addition de capacité neuve n’est pas probable. On ne peut certes l’exclure, mais il suffirait alors de décaler un peu la date d’arr</w:t>
      </w:r>
      <w:r w:rsidR="00645E24">
        <w:t>êt d’une ou deux</w:t>
      </w:r>
      <w:r>
        <w:t xml:space="preserve"> tranches existantes. </w:t>
      </w:r>
      <w:r w:rsidR="00645E24">
        <w:t>Un préavis de 3-</w:t>
      </w:r>
      <w:r>
        <w:t>4 ans (et non un chantier de 10 ans) suffit, et il en coûte 35</w:t>
      </w:r>
      <w:r w:rsidR="00645E24">
        <w:t> </w:t>
      </w:r>
      <w:r>
        <w:t>€/MWh plutôt que 100.</w:t>
      </w:r>
    </w:p>
    <w:p w:rsidR="00645E24" w:rsidRDefault="001713EB" w:rsidP="00645E24">
      <w:pPr>
        <w:spacing w:line="264" w:lineRule="auto"/>
        <w:jc w:val="both"/>
      </w:pPr>
      <w:r>
        <w:t>L</w:t>
      </w:r>
      <w:r w:rsidR="00645E24">
        <w:t xml:space="preserve">e risque de regretter demain de n’avoir </w:t>
      </w:r>
      <w:r w:rsidR="00D664E9">
        <w:t xml:space="preserve">pas </w:t>
      </w:r>
      <w:r w:rsidR="00645E24">
        <w:t>engagé du nucléaire neuf aujourd’</w:t>
      </w:r>
      <w:r>
        <w:t>hui est donc à peu près nul.</w:t>
      </w:r>
    </w:p>
    <w:p w:rsidR="00C32597" w:rsidRDefault="007B3316" w:rsidP="00917359">
      <w:pPr>
        <w:spacing w:line="264" w:lineRule="auto"/>
        <w:jc w:val="both"/>
      </w:pPr>
      <w:r w:rsidRPr="00D664E9">
        <w:rPr>
          <w:b/>
        </w:rPr>
        <w:t xml:space="preserve">On entend souvent </w:t>
      </w:r>
      <w:r w:rsidR="00EE176F" w:rsidRPr="00D664E9">
        <w:rPr>
          <w:b/>
        </w:rPr>
        <w:t>deux arguments en faveur de l’engagement d’une série « lente » d’EPR en France</w:t>
      </w:r>
      <w:r w:rsidR="00EE176F">
        <w:t xml:space="preserve">, par exemple </w:t>
      </w:r>
      <w:r w:rsidR="00C32597">
        <w:t>une tranche tous les deux ans entre 2020 et 2030 :</w:t>
      </w:r>
    </w:p>
    <w:p w:rsidR="007B3316" w:rsidRDefault="00C32597" w:rsidP="00C32597">
      <w:pPr>
        <w:pStyle w:val="Paragraphedeliste"/>
        <w:numPr>
          <w:ilvl w:val="0"/>
          <w:numId w:val="38"/>
        </w:numPr>
        <w:spacing w:line="264" w:lineRule="auto"/>
        <w:jc w:val="both"/>
      </w:pPr>
      <w:r>
        <w:t>Ce serait vita</w:t>
      </w:r>
      <w:r w:rsidR="007B3316">
        <w:t>l pour la filière industrielle</w:t>
      </w:r>
      <w:r w:rsidR="00EE176F">
        <w:t xml:space="preserve">. </w:t>
      </w:r>
      <w:r>
        <w:t xml:space="preserve">Mais </w:t>
      </w:r>
      <w:r w:rsidR="00EE176F">
        <w:t>avec un programme de « grand carénage » d’une cinquantaine de milliards, avec la construction en cours de six tranches EPR (3 dont EDF est maître d’œuvre</w:t>
      </w:r>
      <w:r>
        <w:rPr>
          <w:rStyle w:val="Marquenotebasdepage"/>
        </w:rPr>
        <w:footnoteReference w:id="10"/>
      </w:r>
      <w:r w:rsidR="00EE176F">
        <w:t>, 3 où EDF et AREVA sont associés</w:t>
      </w:r>
      <w:r>
        <w:rPr>
          <w:rStyle w:val="Marquenotebasdepage"/>
        </w:rPr>
        <w:footnoteReference w:id="11"/>
      </w:r>
      <w:r w:rsidR="00EE176F">
        <w:t>), avec des opérations de démantèlement qui devraient commencer à flux régulier en 2020, la crainte du carnet de</w:t>
      </w:r>
      <w:r w:rsidR="0068014C">
        <w:t xml:space="preserve"> commande vide semble excessive.</w:t>
      </w:r>
    </w:p>
    <w:p w:rsidR="00645E24" w:rsidRDefault="00EE176F" w:rsidP="00645E24">
      <w:pPr>
        <w:pStyle w:val="Paragraphedeliste"/>
        <w:numPr>
          <w:ilvl w:val="0"/>
          <w:numId w:val="38"/>
        </w:numPr>
        <w:spacing w:line="264" w:lineRule="auto"/>
        <w:jc w:val="both"/>
      </w:pPr>
      <w:r>
        <w:t>L’effet de</w:t>
      </w:r>
      <w:r w:rsidR="00C32597">
        <w:t xml:space="preserve"> série permettrait</w:t>
      </w:r>
      <w:r>
        <w:t xml:space="preserve"> le saut de compétitivité, l’atteinte d’un coût de revient de l’ordre de 70 €/MWh, inférieur à celui des renouvelables. Force est de constater qu’</w:t>
      </w:r>
      <w:r w:rsidR="00C32597">
        <w:t>il s’agit là d’un postulat</w:t>
      </w:r>
      <w:r w:rsidR="0068014C">
        <w:t xml:space="preserve"> </w:t>
      </w:r>
      <w:r w:rsidR="00FC2EE5">
        <w:t>non étayé</w:t>
      </w:r>
      <w:r w:rsidR="0068014C">
        <w:t xml:space="preserve"> en regard des faits observés</w:t>
      </w:r>
      <w:r w:rsidR="00D664E9">
        <w:t xml:space="preserve"> à ce jour</w:t>
      </w:r>
      <w:r w:rsidR="0068014C">
        <w:t>.</w:t>
      </w:r>
    </w:p>
    <w:p w:rsidR="00CB640D" w:rsidRDefault="001713EB" w:rsidP="001713EB">
      <w:pPr>
        <w:spacing w:line="264" w:lineRule="auto"/>
        <w:jc w:val="both"/>
      </w:pPr>
      <w:r w:rsidRPr="00D664E9">
        <w:rPr>
          <w:b/>
        </w:rPr>
        <w:t xml:space="preserve">Le risque de regretter demain d’avoir pris des engagements irréversibles </w:t>
      </w:r>
      <w:r w:rsidRPr="00D664E9">
        <w:t>qui se terminent en coûts échoués, c'est-à-dire payés in fine par le contribuable ou le consommateur, se chiffre en dizaines de milliards.</w:t>
      </w:r>
      <w:r w:rsidR="00892BA5" w:rsidRPr="00D664E9">
        <w:t xml:space="preserve"> </w:t>
      </w:r>
      <w:r w:rsidR="00CB640D">
        <w:t>Cette fuite en avant peut</w:t>
      </w:r>
      <w:r w:rsidR="00892BA5">
        <w:t xml:space="preserve"> conduire EDF à des arbitrages de ressources au détriment de la maintenance du parc existant, conduire l’Etat à des renflouements devenus obligés au détriment du financement des leviers de la t</w:t>
      </w:r>
      <w:r w:rsidR="00D664E9">
        <w:t>ransition énergétique</w:t>
      </w:r>
      <w:r w:rsidR="00CB640D">
        <w:t xml:space="preserve">, et </w:t>
      </w:r>
      <w:r w:rsidR="00A66F16">
        <w:t>conduire EDF à une faillite ou une restructuration douloureuse</w:t>
      </w:r>
      <w:r w:rsidR="00D664E9">
        <w:t>.</w:t>
      </w:r>
      <w:r w:rsidR="00CB640D">
        <w:t xml:space="preserve"> </w:t>
      </w:r>
    </w:p>
    <w:p w:rsidR="001713EB" w:rsidRDefault="00CB640D" w:rsidP="001713EB">
      <w:pPr>
        <w:spacing w:line="264" w:lineRule="auto"/>
        <w:jc w:val="both"/>
      </w:pPr>
      <w:r w:rsidRPr="00A66F16">
        <w:rPr>
          <w:b/>
        </w:rPr>
        <w:t>La situation financière actuelle est devenue fragile</w:t>
      </w:r>
      <w:r>
        <w:t>, surtout en regard des engagements récemment pris (absorption de l’activité réacteurs d’AREVA, Hinkley Point …)</w:t>
      </w:r>
      <w:r>
        <w:rPr>
          <w:rStyle w:val="Marquenotebasdepage"/>
        </w:rPr>
        <w:footnoteReference w:id="12"/>
      </w:r>
      <w:r>
        <w:t>.</w:t>
      </w:r>
      <w:r w:rsidR="00A66F16">
        <w:t xml:space="preserve"> La priorité consiste certainement à sécuriser le financement du grand carénage du parc existant (environ 50 Md€ sur 10 ans), notamment en réformant le dispositif d’ « accès régulé à l’énergie nucléaire historique » (ARENH) issu de la loi NOME de 2010</w:t>
      </w:r>
      <w:r w:rsidR="00412494">
        <w:rPr>
          <w:rStyle w:val="Marquenotebasdepage"/>
        </w:rPr>
        <w:footnoteReference w:id="13"/>
      </w:r>
      <w:r w:rsidR="00A66F16">
        <w:t xml:space="preserve">. </w:t>
      </w:r>
    </w:p>
    <w:p w:rsidR="008016FC" w:rsidRDefault="00760C69" w:rsidP="0094087F">
      <w:pPr>
        <w:spacing w:line="264" w:lineRule="auto"/>
        <w:jc w:val="both"/>
      </w:pPr>
      <w:r w:rsidRPr="00760C69">
        <w:rPr>
          <w:b/>
        </w:rPr>
        <w:t>Il est souhaitable de se</w:t>
      </w:r>
      <w:r w:rsidR="005A552D" w:rsidRPr="00760C69">
        <w:rPr>
          <w:b/>
        </w:rPr>
        <w:t xml:space="preserve"> donner le temps de mettre au point </w:t>
      </w:r>
      <w:r w:rsidR="00BF3AD6" w:rsidRPr="00760C69">
        <w:rPr>
          <w:b/>
        </w:rPr>
        <w:t>un nouveau modèle susceptible d’être compétitif</w:t>
      </w:r>
      <w:r w:rsidR="005A552D" w:rsidRPr="00760C69">
        <w:rPr>
          <w:b/>
        </w:rPr>
        <w:t>.</w:t>
      </w:r>
      <w:r>
        <w:rPr>
          <w:b/>
        </w:rPr>
        <w:t xml:space="preserve"> </w:t>
      </w:r>
      <w:r w:rsidRPr="00760C69">
        <w:t>V</w:t>
      </w:r>
      <w:r>
        <w:t>iser 2035 comme date-repère pour une éventuelle mise en service d’une nouvelle ce</w:t>
      </w:r>
      <w:r w:rsidR="008016FC">
        <w:t>ntrale nucléaire ne peut pas compromettre l’équilibre offre-demande</w:t>
      </w:r>
      <w:r>
        <w:t xml:space="preserve">. </w:t>
      </w:r>
    </w:p>
    <w:p w:rsidR="008016FC" w:rsidRDefault="008016FC" w:rsidP="008016FC">
      <w:pPr>
        <w:pStyle w:val="Paragraphedeliste"/>
        <w:numPr>
          <w:ilvl w:val="0"/>
          <w:numId w:val="38"/>
        </w:numPr>
        <w:spacing w:line="264" w:lineRule="auto"/>
        <w:jc w:val="both"/>
      </w:pPr>
      <w:r>
        <w:t>Cela laisse cinq bonnes années pour explorer et concevoir le meilleur modèle possible. Le programme est chargé pour la R&amp;D et l’ingénierie d’EDF et d’AREVA, mais demande des dépenses raisonnables en capital : évaluation des pistes (dont les petits réacteurs modulaires), coopérations avec d’autres industriels, participation à la réalisation de démonstrateurs … Le terrain du « réapprentissage » de la filière française ne peut se limiter à la France ; il passera sans doute par la Chine, où se construisent la moitié des réacteurs neufs dans le monde. Rappelons-nous qu’EDF a procédé à une telle « gymnastique nucléaire »</w:t>
      </w:r>
      <w:r>
        <w:rPr>
          <w:rStyle w:val="Marquenotebasdepage"/>
        </w:rPr>
        <w:footnoteReference w:id="14"/>
      </w:r>
      <w:r>
        <w:t xml:space="preserve"> dans les années 1960, qui lui a permis d’imposer le choix compétitif du réacteur à eau pressurisée sous licence Westinghouse.</w:t>
      </w:r>
    </w:p>
    <w:p w:rsidR="00BF3AD6" w:rsidRDefault="00BF3AD6" w:rsidP="008016FC">
      <w:pPr>
        <w:pStyle w:val="Paragraphedeliste"/>
        <w:numPr>
          <w:ilvl w:val="0"/>
          <w:numId w:val="38"/>
        </w:numPr>
        <w:spacing w:line="264" w:lineRule="auto"/>
        <w:jc w:val="both"/>
      </w:pPr>
      <w:r>
        <w:t>On sera ainsi en mesure de décider l</w:t>
      </w:r>
      <w:r w:rsidR="00760C69">
        <w:t>e moment venu, vers 2025</w:t>
      </w:r>
      <w:r>
        <w:t xml:space="preserve">, en fonction des performances </w:t>
      </w:r>
      <w:r w:rsidR="008016FC">
        <w:t xml:space="preserve">attendues </w:t>
      </w:r>
      <w:r>
        <w:t>du nouveau nucléaire, comme des renouvelables et du stockage</w:t>
      </w:r>
      <w:r w:rsidR="008016FC">
        <w:t xml:space="preserve"> (dont la perspective de pouvoir intégrer un taux très élevé de production intermit</w:t>
      </w:r>
      <w:r w:rsidR="00933501">
        <w:t>t</w:t>
      </w:r>
      <w:r w:rsidR="008016FC">
        <w:t>ente)</w:t>
      </w:r>
      <w:r>
        <w:t xml:space="preserve">, comme de l’efficacité énergétique, sans oublier les souhaits des citoyens, de lancer ou non du nucléaire neuf en France. Si c’est oui, on n’aura pas de regret à avoir temporisé. Si c’est non, on aura évité une décision trop précoce qui risque de </w:t>
      </w:r>
      <w:r w:rsidR="0039022E">
        <w:t>réenclencher un « engrenage » industriel pour de nombreuses années.</w:t>
      </w:r>
    </w:p>
    <w:p w:rsidR="00412494" w:rsidRDefault="00412494" w:rsidP="00412494">
      <w:pPr>
        <w:spacing w:line="264" w:lineRule="auto"/>
        <w:jc w:val="both"/>
      </w:pPr>
      <w:r w:rsidRPr="00812C68">
        <w:rPr>
          <w:b/>
        </w:rPr>
        <w:t>En parallèle, la question de la stratégie de recyclage du combustible devra être posée</w:t>
      </w:r>
      <w:r>
        <w:t xml:space="preserve">. Elle se base aujourd’hui sur l’hypothèse implicite </w:t>
      </w:r>
      <w:r w:rsidR="00FC2EE5">
        <w:t>de la permanence des 75% de nucléaire dans le mix électrique</w:t>
      </w:r>
      <w:r>
        <w:t xml:space="preserve">, d’un remplacement des tranches 900 MW, aptes à consommer le plutonium issu du retraitement (combustible « MOx ») par des EPR </w:t>
      </w:r>
      <w:r w:rsidR="00812C68">
        <w:t>qui en sont également capables, et sur la possibilité de réutiliser un jour le MOx irradié. Ces hypothèses ne semblent plus valides ; les longues constantes de temps de l’industrie du cycle du combustible invitent à en tirer les conséquences sans tarder.</w:t>
      </w:r>
    </w:p>
    <w:p w:rsidR="00C13B3F" w:rsidRDefault="00C13B3F" w:rsidP="00C13B3F">
      <w:pPr>
        <w:pStyle w:val="Paragraphedeliste"/>
        <w:spacing w:line="264" w:lineRule="auto"/>
        <w:ind w:left="1440"/>
        <w:jc w:val="both"/>
      </w:pPr>
    </w:p>
    <w:p w:rsidR="00F82B9D" w:rsidRDefault="00F40F61" w:rsidP="00680BB4">
      <w:pPr>
        <w:spacing w:line="264" w:lineRule="auto"/>
        <w:ind w:left="142" w:right="140"/>
        <w:jc w:val="both"/>
        <w:rPr>
          <w:i/>
        </w:rPr>
      </w:pPr>
      <w:r w:rsidRPr="007A423F">
        <w:rPr>
          <w:b/>
          <w:noProof/>
          <w:color w:val="0070C0"/>
          <w:lang w:eastAsia="fr-FR"/>
        </w:rPr>
        <mc:AlternateContent>
          <mc:Choice Requires="wps">
            <w:drawing>
              <wp:anchor distT="0" distB="0" distL="114300" distR="114300" simplePos="0" relativeHeight="251662336" behindDoc="0" locked="0" layoutInCell="1" allowOverlap="1" wp14:anchorId="2BA7D12D" wp14:editId="601071CF">
                <wp:simplePos x="0" y="0"/>
                <wp:positionH relativeFrom="column">
                  <wp:posOffset>-3810</wp:posOffset>
                </wp:positionH>
                <wp:positionV relativeFrom="paragraph">
                  <wp:posOffset>-116576</wp:posOffset>
                </wp:positionV>
                <wp:extent cx="6153150" cy="15430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153150" cy="1543050"/>
                        </a:xfrm>
                        <a:prstGeom prst="rect">
                          <a:avLst/>
                        </a:prstGeom>
                        <a:noFill/>
                        <a:ln w="6350">
                          <a:solidFill>
                            <a:srgbClr val="25A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25pt;margin-top:-9.15pt;width:484.5pt;height:12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" filled="f" strokecolor="#25a2ff" strokeweight=".5pt"/>
            </w:pict>
          </mc:Fallback>
        </mc:AlternateContent>
      </w:r>
      <w:r w:rsidR="005A552D" w:rsidRPr="007A423F">
        <w:rPr>
          <w:b/>
          <w:i/>
          <w:color w:val="0070C0"/>
        </w:rPr>
        <w:t>Proposition 2 :</w:t>
      </w:r>
      <w:r w:rsidR="005A552D" w:rsidRPr="00F82B9D">
        <w:rPr>
          <w:i/>
        </w:rPr>
        <w:t xml:space="preserve"> </w:t>
      </w:r>
      <w:r w:rsidR="00F82B9D">
        <w:rPr>
          <w:i/>
        </w:rPr>
        <w:t xml:space="preserve">définir un agenda </w:t>
      </w:r>
      <w:r w:rsidR="00A3365D">
        <w:rPr>
          <w:i/>
        </w:rPr>
        <w:t>raisonné pour un éventuel recours futur au</w:t>
      </w:r>
      <w:r w:rsidR="00F82B9D">
        <w:rPr>
          <w:i/>
        </w:rPr>
        <w:t xml:space="preserve"> nucléaire neuf en France</w:t>
      </w:r>
    </w:p>
    <w:p w:rsidR="00F82B9D" w:rsidRDefault="00F82B9D" w:rsidP="00680BB4">
      <w:pPr>
        <w:pStyle w:val="Paragraphedeliste"/>
        <w:numPr>
          <w:ilvl w:val="0"/>
          <w:numId w:val="43"/>
        </w:numPr>
        <w:spacing w:line="264" w:lineRule="auto"/>
        <w:ind w:right="140"/>
        <w:jc w:val="both"/>
        <w:rPr>
          <w:i/>
        </w:rPr>
      </w:pPr>
      <w:r w:rsidRPr="00680BB4">
        <w:rPr>
          <w:i/>
        </w:rPr>
        <w:t>A</w:t>
      </w:r>
      <w:r w:rsidR="005A552D" w:rsidRPr="00680BB4">
        <w:rPr>
          <w:i/>
        </w:rPr>
        <w:t xml:space="preserve">ucun engagement d’une nouvelle tranche nucléaire en France durant le quinquennat. </w:t>
      </w:r>
    </w:p>
    <w:p w:rsidR="00680BB4" w:rsidRPr="00680BB4" w:rsidRDefault="00680BB4" w:rsidP="00680BB4">
      <w:pPr>
        <w:pStyle w:val="Paragraphedeliste"/>
        <w:numPr>
          <w:ilvl w:val="0"/>
          <w:numId w:val="43"/>
        </w:numPr>
        <w:spacing w:line="264" w:lineRule="auto"/>
        <w:ind w:right="140"/>
        <w:jc w:val="both"/>
        <w:rPr>
          <w:i/>
        </w:rPr>
      </w:pPr>
      <w:r>
        <w:rPr>
          <w:i/>
        </w:rPr>
        <w:t>Lancer, en se donnant cinq ans, un programme de R&amp;D et d’ingénierie pour concevoir un modèle de réacteur donnant une perspective solide de compétitivité en France et à l’international.</w:t>
      </w:r>
    </w:p>
    <w:p w:rsidR="005A552D" w:rsidRPr="00680BB4" w:rsidRDefault="005A552D" w:rsidP="00680BB4">
      <w:pPr>
        <w:pStyle w:val="Paragraphedeliste"/>
        <w:numPr>
          <w:ilvl w:val="0"/>
          <w:numId w:val="43"/>
        </w:numPr>
        <w:spacing w:line="264" w:lineRule="auto"/>
        <w:ind w:right="140"/>
        <w:jc w:val="both"/>
        <w:rPr>
          <w:i/>
        </w:rPr>
      </w:pPr>
      <w:r w:rsidRPr="00680BB4">
        <w:rPr>
          <w:i/>
        </w:rPr>
        <w:t>Fixer le principe qu’un engagement ultérieur ne sera accepté que dans la mesure où la part du nucléaire dans le mix ne dépassera pas 50% au moment attendu de la mise en service.</w:t>
      </w:r>
    </w:p>
    <w:p w:rsidR="00C13B3F" w:rsidRDefault="00C13B3F" w:rsidP="00917359">
      <w:pPr>
        <w:spacing w:line="264" w:lineRule="auto"/>
        <w:jc w:val="both"/>
        <w:rPr>
          <w:b/>
        </w:rPr>
      </w:pPr>
    </w:p>
    <w:p w:rsidR="00C13B3F" w:rsidRPr="007A423F" w:rsidRDefault="007A423F" w:rsidP="000061CA">
      <w:pPr>
        <w:rPr>
          <w:b/>
          <w:i/>
          <w:color w:val="0070C0"/>
          <w:sz w:val="24"/>
        </w:rPr>
      </w:pPr>
      <w:r>
        <w:rPr>
          <w:b/>
          <w:i/>
          <w:color w:val="0070C0"/>
          <w:sz w:val="24"/>
        </w:rPr>
        <w:br w:type="page"/>
      </w:r>
      <w:r w:rsidR="00C13B3F" w:rsidRPr="007A423F">
        <w:rPr>
          <w:b/>
          <w:i/>
          <w:color w:val="0070C0"/>
          <w:sz w:val="24"/>
        </w:rPr>
        <w:t>6.  Conclusion</w:t>
      </w:r>
    </w:p>
    <w:p w:rsidR="007C0036" w:rsidRDefault="007C0036" w:rsidP="00917359">
      <w:pPr>
        <w:spacing w:line="264" w:lineRule="auto"/>
        <w:jc w:val="both"/>
      </w:pPr>
      <w:r w:rsidRPr="007C0036">
        <w:rPr>
          <w:b/>
        </w:rPr>
        <w:t>Une telle feuille de route peut donner à EDF et au tissu industriel de la filière nucléaire la visibilité et les moyens d’exercer les missions associées</w:t>
      </w:r>
      <w:r w:rsidR="0094087F">
        <w:rPr>
          <w:b/>
        </w:rPr>
        <w:t> :</w:t>
      </w:r>
    </w:p>
    <w:p w:rsidR="007C0036" w:rsidRDefault="007C0036" w:rsidP="00917359">
      <w:pPr>
        <w:pStyle w:val="Paragraphedeliste"/>
        <w:numPr>
          <w:ilvl w:val="0"/>
          <w:numId w:val="38"/>
        </w:numPr>
        <w:spacing w:line="264" w:lineRule="auto"/>
        <w:jc w:val="both"/>
      </w:pPr>
      <w:r>
        <w:t xml:space="preserve">Organisation du « grand carénage », </w:t>
      </w:r>
      <w:r w:rsidR="00412494">
        <w:t xml:space="preserve">visibilité de son financement, </w:t>
      </w:r>
      <w:r>
        <w:t>dimensionnement du cycle du combustible, gestion des compétences dans la durée</w:t>
      </w:r>
      <w:r w:rsidR="00917359">
        <w:t>.</w:t>
      </w:r>
    </w:p>
    <w:p w:rsidR="00C13B3F" w:rsidRPr="00C13B3F" w:rsidRDefault="007C0036" w:rsidP="00917359">
      <w:pPr>
        <w:pStyle w:val="Paragraphedeliste"/>
        <w:numPr>
          <w:ilvl w:val="0"/>
          <w:numId w:val="38"/>
        </w:numPr>
        <w:spacing w:line="264" w:lineRule="auto"/>
        <w:jc w:val="both"/>
      </w:pPr>
      <w:r>
        <w:t>Acquisition de l’expér</w:t>
      </w:r>
      <w:r w:rsidR="00933501">
        <w:t>ience</w:t>
      </w:r>
      <w:r>
        <w:t xml:space="preserve"> pour se donner les meilleures chances de </w:t>
      </w:r>
      <w:r w:rsidR="00412494">
        <w:t>disposer, au milieu des années 2020, d’</w:t>
      </w:r>
      <w:r w:rsidR="00F32523">
        <w:t>un modèle compétitif</w:t>
      </w:r>
      <w:r w:rsidR="00933501">
        <w:t xml:space="preserve"> de nouveau nucléaire</w:t>
      </w:r>
      <w:r>
        <w:t xml:space="preserve">, sans prendre trop tôt des engagements financiers </w:t>
      </w:r>
      <w:r w:rsidR="00917359">
        <w:t xml:space="preserve">risqués </w:t>
      </w:r>
      <w:r>
        <w:t>dont EDF n’a pas les moyens à court et moyen terme.</w:t>
      </w:r>
    </w:p>
    <w:p w:rsidR="007C0036" w:rsidRDefault="00C13B3F" w:rsidP="00917359">
      <w:pPr>
        <w:spacing w:line="264" w:lineRule="auto"/>
        <w:jc w:val="both"/>
      </w:pPr>
      <w:r>
        <w:rPr>
          <w:b/>
        </w:rPr>
        <w:t>E</w:t>
      </w:r>
      <w:r w:rsidR="0039022E" w:rsidRPr="000733C4">
        <w:rPr>
          <w:b/>
        </w:rPr>
        <w:t xml:space="preserve">n ménageant les enjeux économiques et industriels, </w:t>
      </w:r>
      <w:r>
        <w:rPr>
          <w:b/>
        </w:rPr>
        <w:t xml:space="preserve">en tirant parti sans se mettre en impasse de l’atout du parc nucléaire existant, </w:t>
      </w:r>
      <w:r w:rsidR="008016FC">
        <w:rPr>
          <w:b/>
        </w:rPr>
        <w:t xml:space="preserve">en évitant une irréversibilité, </w:t>
      </w:r>
      <w:r w:rsidR="0094087F">
        <w:rPr>
          <w:b/>
        </w:rPr>
        <w:t>les deux</w:t>
      </w:r>
      <w:r w:rsidR="0039022E" w:rsidRPr="000733C4">
        <w:rPr>
          <w:b/>
        </w:rPr>
        <w:t xml:space="preserve"> propositions</w:t>
      </w:r>
      <w:r w:rsidR="0094087F">
        <w:rPr>
          <w:b/>
        </w:rPr>
        <w:t xml:space="preserve"> ci-dessus</w:t>
      </w:r>
      <w:r w:rsidR="0039022E" w:rsidRPr="000733C4">
        <w:rPr>
          <w:b/>
        </w:rPr>
        <w:t xml:space="preserve"> ouvrent les deux options</w:t>
      </w:r>
      <w:r w:rsidR="0039022E">
        <w:t xml:space="preserve"> qu</w:t>
      </w:r>
      <w:r w:rsidR="00917359">
        <w:t>i</w:t>
      </w:r>
      <w:r w:rsidR="0039022E">
        <w:t xml:space="preserve"> </w:t>
      </w:r>
      <w:r w:rsidR="00917359">
        <w:t>pourraient</w:t>
      </w:r>
      <w:r w:rsidR="0039022E">
        <w:t xml:space="preserve"> </w:t>
      </w:r>
      <w:r w:rsidR="00917359">
        <w:t>concilier</w:t>
      </w:r>
      <w:r w:rsidR="0039022E">
        <w:t xml:space="preserve"> la plupart des acteurs de la trans</w:t>
      </w:r>
      <w:r w:rsidR="00933501">
        <w:t>ition énergétique : continuer un</w:t>
      </w:r>
      <w:r w:rsidR="0039022E">
        <w:t xml:space="preserve"> choix nucléaire</w:t>
      </w:r>
      <w:r w:rsidR="00933501">
        <w:t>, devenu moins massif,</w:t>
      </w:r>
      <w:r w:rsidR="0039022E">
        <w:t xml:space="preserve"> via une nouvelle génération de centrales dont les performances sont reconnues ou bien se mettre en mesure de sortir du nucléaire au </w:t>
      </w:r>
      <w:r w:rsidR="00F32523">
        <w:t xml:space="preserve">rythme et au </w:t>
      </w:r>
      <w:r w:rsidR="0039022E">
        <w:t>profit de solutions qui se révéleraient préférables.</w:t>
      </w:r>
    </w:p>
    <w:p w:rsidR="00F82B9D" w:rsidRDefault="00F82B9D">
      <w:pPr>
        <w:rPr>
          <w:b/>
          <w:sz w:val="28"/>
        </w:rPr>
      </w:pPr>
      <w:r>
        <w:rPr>
          <w:b/>
          <w:sz w:val="28"/>
        </w:rPr>
        <w:br w:type="page"/>
      </w:r>
    </w:p>
    <w:p w:rsidR="009B7246" w:rsidRPr="00200AAB" w:rsidRDefault="00933501" w:rsidP="007A423F">
      <w:pPr>
        <w:pBdr>
          <w:bottom w:val="single" w:sz="4" w:space="12" w:color="0070C0"/>
        </w:pBdr>
        <w:spacing w:line="264" w:lineRule="auto"/>
        <w:jc w:val="both"/>
        <w:rPr>
          <w:b/>
          <w:sz w:val="24"/>
        </w:rPr>
      </w:pPr>
      <w:r w:rsidRPr="00200AAB">
        <w:rPr>
          <w:b/>
          <w:sz w:val="24"/>
        </w:rPr>
        <w:t>Annexe : c</w:t>
      </w:r>
      <w:r w:rsidR="009B7246" w:rsidRPr="00200AAB">
        <w:rPr>
          <w:b/>
          <w:sz w:val="24"/>
        </w:rPr>
        <w:t xml:space="preserve">oût de production tout compris de moyens </w:t>
      </w:r>
      <w:r w:rsidR="002F25BB" w:rsidRPr="00200AAB">
        <w:rPr>
          <w:b/>
          <w:sz w:val="24"/>
        </w:rPr>
        <w:t xml:space="preserve">ENR </w:t>
      </w:r>
      <w:r w:rsidR="009B7246" w:rsidRPr="00200AAB">
        <w:rPr>
          <w:b/>
          <w:sz w:val="24"/>
        </w:rPr>
        <w:t>neufs</w:t>
      </w:r>
    </w:p>
    <w:p w:rsidR="00982C4B" w:rsidRDefault="00982C4B" w:rsidP="00917359">
      <w:pPr>
        <w:spacing w:line="264" w:lineRule="auto"/>
        <w:jc w:val="both"/>
      </w:pPr>
    </w:p>
    <w:p w:rsidR="0003439E" w:rsidRPr="002F25BB" w:rsidRDefault="00982C4B" w:rsidP="00917359">
      <w:pPr>
        <w:spacing w:line="264" w:lineRule="auto"/>
        <w:jc w:val="both"/>
        <w:rPr>
          <w:sz w:val="20"/>
        </w:rPr>
      </w:pPr>
      <w:r w:rsidRPr="002F25BB">
        <w:rPr>
          <w:sz w:val="20"/>
        </w:rPr>
        <w:t>Les évaluations ci-dessous ne prétendent pas fournir des coûts de référence documentés de façon précise, mais seulement à justifier un ordre de grandeur du coût de développement d’ENR en France dans le cadre de la PPE. On retient à ce titre un horizon de mise en service qui est 2020-2025</w:t>
      </w:r>
      <w:r w:rsidR="0003439E" w:rsidRPr="002F25BB">
        <w:rPr>
          <w:sz w:val="20"/>
        </w:rPr>
        <w:t>, d’où :</w:t>
      </w:r>
    </w:p>
    <w:p w:rsidR="0003439E" w:rsidRPr="002F25BB" w:rsidRDefault="0003439E" w:rsidP="0003439E">
      <w:pPr>
        <w:pStyle w:val="Paragraphedeliste"/>
        <w:numPr>
          <w:ilvl w:val="0"/>
          <w:numId w:val="38"/>
        </w:numPr>
        <w:spacing w:line="264" w:lineRule="auto"/>
        <w:jc w:val="both"/>
        <w:rPr>
          <w:sz w:val="20"/>
        </w:rPr>
      </w:pPr>
      <w:r w:rsidRPr="002F25BB">
        <w:rPr>
          <w:sz w:val="20"/>
        </w:rPr>
        <w:t xml:space="preserve">les paramètres de coûts et de performance, qui </w:t>
      </w:r>
      <w:r w:rsidR="0023327D" w:rsidRPr="002F25BB">
        <w:rPr>
          <w:sz w:val="20"/>
        </w:rPr>
        <w:t xml:space="preserve"> </w:t>
      </w:r>
      <w:r w:rsidRPr="002F25BB">
        <w:rPr>
          <w:sz w:val="20"/>
        </w:rPr>
        <w:t xml:space="preserve">reflètent une vision médiane </w:t>
      </w:r>
      <w:r w:rsidR="002F25BB" w:rsidRPr="002F25BB">
        <w:rPr>
          <w:sz w:val="20"/>
        </w:rPr>
        <w:t>de la littérature existante</w:t>
      </w:r>
      <w:r w:rsidRPr="002F25BB">
        <w:rPr>
          <w:sz w:val="20"/>
        </w:rPr>
        <w:t> ;</w:t>
      </w:r>
    </w:p>
    <w:p w:rsidR="0023327D" w:rsidRPr="002F25BB" w:rsidRDefault="0003439E" w:rsidP="0003439E">
      <w:pPr>
        <w:pStyle w:val="Paragraphedeliste"/>
        <w:numPr>
          <w:ilvl w:val="0"/>
          <w:numId w:val="38"/>
        </w:numPr>
        <w:spacing w:line="264" w:lineRule="auto"/>
        <w:jc w:val="both"/>
        <w:rPr>
          <w:sz w:val="20"/>
        </w:rPr>
      </w:pPr>
      <w:r w:rsidRPr="002F25BB">
        <w:rPr>
          <w:sz w:val="20"/>
        </w:rPr>
        <w:t xml:space="preserve">l’évaluation (simplifiée et moyenne) des coûts d’insertion (back-up et réseau), liés à l’intermittence, dans un système électrique qui contient </w:t>
      </w:r>
      <w:r w:rsidR="00812C68">
        <w:rPr>
          <w:sz w:val="20"/>
        </w:rPr>
        <w:t>au plus</w:t>
      </w:r>
      <w:r w:rsidRPr="002F25BB">
        <w:rPr>
          <w:sz w:val="20"/>
        </w:rPr>
        <w:t xml:space="preserve"> 20% de production intermittent</w:t>
      </w:r>
      <w:r w:rsidR="00812C68">
        <w:rPr>
          <w:rStyle w:val="Marquenotebasdepage"/>
          <w:sz w:val="20"/>
        </w:rPr>
        <w:footnoteReference w:id="15"/>
      </w:r>
      <w:r w:rsidRPr="002F25BB">
        <w:rPr>
          <w:sz w:val="20"/>
        </w:rPr>
        <w:t>. Avec un ratio supérieur (et donc un horizon postérieur) entrent en ligne de compte des facteurs plus pénalisants (besoin de flexibilité, obligation d’effacer le trop-plein de production à certaines périodes …) mais aussi des progrès dans les leviers d’insertion (batteries, pilotage de la demande) et dans les technologies ENR elles-mêmes.</w:t>
      </w:r>
    </w:p>
    <w:p w:rsidR="0003439E" w:rsidRPr="002F25BB" w:rsidRDefault="0003439E" w:rsidP="00AA1D17">
      <w:pPr>
        <w:spacing w:after="480" w:line="264" w:lineRule="auto"/>
        <w:jc w:val="both"/>
        <w:rPr>
          <w:sz w:val="20"/>
        </w:rPr>
      </w:pPr>
      <w:r w:rsidRPr="002F25BB">
        <w:rPr>
          <w:sz w:val="20"/>
        </w:rPr>
        <w:t xml:space="preserve">Dans ce contexte et </w:t>
      </w:r>
      <w:r w:rsidR="00812C68">
        <w:rPr>
          <w:sz w:val="20"/>
        </w:rPr>
        <w:t xml:space="preserve">à </w:t>
      </w:r>
      <w:r w:rsidRPr="002F25BB">
        <w:rPr>
          <w:sz w:val="20"/>
        </w:rPr>
        <w:t xml:space="preserve">cet horizon de la PPE, et considérant que les trois filières ci-dessous se partagent </w:t>
      </w:r>
      <w:r w:rsidR="002F25BB" w:rsidRPr="002F25BB">
        <w:rPr>
          <w:sz w:val="20"/>
        </w:rPr>
        <w:t xml:space="preserve">l’essentiel des </w:t>
      </w:r>
      <w:r w:rsidRPr="002F25BB">
        <w:rPr>
          <w:sz w:val="20"/>
        </w:rPr>
        <w:t xml:space="preserve">objectifs de développement, on proposera </w:t>
      </w:r>
      <w:r w:rsidRPr="002F25BB">
        <w:rPr>
          <w:b/>
          <w:sz w:val="20"/>
        </w:rPr>
        <w:t>un ordre de grandeur de 85 €/MWh</w:t>
      </w:r>
      <w:r w:rsidRPr="002F25BB">
        <w:rPr>
          <w:sz w:val="20"/>
        </w:rPr>
        <w:t>.</w:t>
      </w:r>
    </w:p>
    <w:tbl>
      <w:tblPr>
        <w:tblStyle w:val="GridTable1LightAccent2"/>
        <w:tblW w:w="9580" w:type="dxa"/>
        <w:tblLayout w:type="fixed"/>
        <w:tblLook w:val="04A0" w:firstRow="1" w:lastRow="0" w:firstColumn="1" w:lastColumn="0" w:noHBand="0" w:noVBand="1"/>
      </w:tblPr>
      <w:tblGrid>
        <w:gridCol w:w="4819"/>
        <w:gridCol w:w="1587"/>
        <w:gridCol w:w="1587"/>
        <w:gridCol w:w="1587"/>
      </w:tblGrid>
      <w:tr w:rsidR="002F25BB" w:rsidRPr="00B315A5" w:rsidTr="007A423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70C0"/>
              <w:left w:val="single" w:sz="4" w:space="0" w:color="FFFFFF" w:themeColor="background1"/>
              <w:bottom w:val="single" w:sz="4" w:space="0" w:color="0070C0"/>
              <w:right w:val="single" w:sz="4" w:space="0" w:color="FFFFFF" w:themeColor="background1"/>
            </w:tcBorders>
            <w:vAlign w:val="center"/>
          </w:tcPr>
          <w:p w:rsidR="00211DC5" w:rsidRPr="002F25BB" w:rsidRDefault="00211DC5" w:rsidP="00B315A5">
            <w:pPr>
              <w:spacing w:line="264" w:lineRule="auto"/>
              <w:rPr>
                <w:b w:val="0"/>
                <w:sz w:val="20"/>
              </w:rPr>
            </w:pPr>
            <w:r w:rsidRPr="002F25BB">
              <w:rPr>
                <w:b w:val="0"/>
                <w:sz w:val="20"/>
              </w:rPr>
              <w:t>Paramètres</w:t>
            </w:r>
            <w:r w:rsidR="00B315A5" w:rsidRPr="002F25BB">
              <w:rPr>
                <w:b w:val="0"/>
                <w:sz w:val="20"/>
              </w:rPr>
              <w:t xml:space="preserve"> (valeurs monétaires en euros 2016)</w:t>
            </w:r>
          </w:p>
        </w:tc>
        <w:tc>
          <w:tcPr>
            <w:tcW w:w="1587" w:type="dxa"/>
            <w:tcBorders>
              <w:top w:val="single" w:sz="4" w:space="0" w:color="0070C0"/>
              <w:left w:val="single" w:sz="4" w:space="0" w:color="FFFFFF" w:themeColor="background1"/>
              <w:bottom w:val="single" w:sz="4" w:space="0" w:color="0070C0"/>
              <w:right w:val="single" w:sz="4" w:space="0" w:color="FFFFFF" w:themeColor="background1"/>
            </w:tcBorders>
            <w:vAlign w:val="center"/>
          </w:tcPr>
          <w:p w:rsidR="00211DC5" w:rsidRPr="002F25BB" w:rsidRDefault="00211DC5" w:rsidP="0028528D">
            <w:pPr>
              <w:spacing w:line="264" w:lineRule="auto"/>
              <w:jc w:val="center"/>
              <w:cnfStyle w:val="100000000000" w:firstRow="1" w:lastRow="0" w:firstColumn="0" w:lastColumn="0" w:oddVBand="0" w:evenVBand="0" w:oddHBand="0" w:evenHBand="0" w:firstRowFirstColumn="0" w:firstRowLastColumn="0" w:lastRowFirstColumn="0" w:lastRowLastColumn="0"/>
              <w:rPr>
                <w:sz w:val="20"/>
              </w:rPr>
            </w:pPr>
            <w:r w:rsidRPr="002F25BB">
              <w:rPr>
                <w:sz w:val="20"/>
              </w:rPr>
              <w:t xml:space="preserve">Eolien </w:t>
            </w:r>
            <w:r w:rsidR="00B315A5" w:rsidRPr="002F25BB">
              <w:rPr>
                <w:sz w:val="20"/>
              </w:rPr>
              <w:t>terrestre</w:t>
            </w:r>
          </w:p>
        </w:tc>
        <w:tc>
          <w:tcPr>
            <w:tcW w:w="1587" w:type="dxa"/>
            <w:tcBorders>
              <w:top w:val="single" w:sz="4" w:space="0" w:color="0070C0"/>
              <w:left w:val="single" w:sz="4" w:space="0" w:color="FFFFFF" w:themeColor="background1"/>
              <w:bottom w:val="single" w:sz="4" w:space="0" w:color="0070C0"/>
              <w:right w:val="single" w:sz="4" w:space="0" w:color="FFFFFF" w:themeColor="background1"/>
            </w:tcBorders>
            <w:vAlign w:val="center"/>
          </w:tcPr>
          <w:p w:rsidR="00211DC5" w:rsidRPr="002F25BB" w:rsidRDefault="00211DC5" w:rsidP="0028528D">
            <w:pPr>
              <w:spacing w:line="264" w:lineRule="auto"/>
              <w:jc w:val="center"/>
              <w:cnfStyle w:val="100000000000" w:firstRow="1" w:lastRow="0" w:firstColumn="0" w:lastColumn="0" w:oddVBand="0" w:evenVBand="0" w:oddHBand="0" w:evenHBand="0" w:firstRowFirstColumn="0" w:firstRowLastColumn="0" w:lastRowFirstColumn="0" w:lastRowLastColumn="0"/>
              <w:rPr>
                <w:sz w:val="20"/>
              </w:rPr>
            </w:pPr>
            <w:r w:rsidRPr="002F25BB">
              <w:rPr>
                <w:sz w:val="20"/>
              </w:rPr>
              <w:t xml:space="preserve">Eolien </w:t>
            </w:r>
            <w:r w:rsidR="00B315A5" w:rsidRPr="002F25BB">
              <w:rPr>
                <w:sz w:val="20"/>
              </w:rPr>
              <w:t>maritime</w:t>
            </w:r>
          </w:p>
        </w:tc>
        <w:tc>
          <w:tcPr>
            <w:tcW w:w="1587" w:type="dxa"/>
            <w:tcBorders>
              <w:top w:val="single" w:sz="4" w:space="0" w:color="0070C0"/>
              <w:left w:val="single" w:sz="4" w:space="0" w:color="FFFFFF" w:themeColor="background1"/>
              <w:bottom w:val="single" w:sz="4" w:space="0" w:color="0070C0"/>
              <w:right w:val="single" w:sz="4" w:space="0" w:color="FFFFFF" w:themeColor="background1"/>
            </w:tcBorders>
            <w:vAlign w:val="center"/>
          </w:tcPr>
          <w:p w:rsidR="00211DC5" w:rsidRPr="002F25BB" w:rsidRDefault="0028528D" w:rsidP="0028528D">
            <w:pPr>
              <w:spacing w:line="264" w:lineRule="auto"/>
              <w:jc w:val="center"/>
              <w:cnfStyle w:val="100000000000" w:firstRow="1" w:lastRow="0" w:firstColumn="0" w:lastColumn="0" w:oddVBand="0" w:evenVBand="0" w:oddHBand="0" w:evenHBand="0" w:firstRowFirstColumn="0" w:firstRowLastColumn="0" w:lastRowFirstColumn="0" w:lastRowLastColumn="0"/>
              <w:rPr>
                <w:sz w:val="20"/>
              </w:rPr>
            </w:pPr>
            <w:r w:rsidRPr="002F25BB">
              <w:rPr>
                <w:sz w:val="20"/>
              </w:rPr>
              <w:t>Solaire</w:t>
            </w:r>
            <w:r w:rsidR="008357C0" w:rsidRPr="002F25BB">
              <w:rPr>
                <w:sz w:val="20"/>
              </w:rPr>
              <w:t xml:space="preserve"> PV</w:t>
            </w:r>
            <w:r w:rsidRPr="002F25BB">
              <w:rPr>
                <w:sz w:val="20"/>
              </w:rPr>
              <w:t xml:space="preserve"> </w:t>
            </w:r>
            <w:r w:rsidRPr="002F25BB">
              <w:rPr>
                <w:rStyle w:val="Marquenotebasdepage"/>
                <w:sz w:val="20"/>
              </w:rPr>
              <w:footnoteReference w:id="16"/>
            </w:r>
          </w:p>
        </w:tc>
      </w:tr>
      <w:tr w:rsidR="002F25BB" w:rsidRPr="00B315A5" w:rsidTr="007A423F">
        <w:trPr>
          <w:trHeight w:val="397"/>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70C0"/>
              <w:left w:val="single" w:sz="4" w:space="0" w:color="FFFFFF" w:themeColor="background1"/>
              <w:bottom w:val="single" w:sz="4" w:space="0" w:color="FFFFFF" w:themeColor="background1"/>
              <w:right w:val="single" w:sz="4" w:space="0" w:color="FFFFFF" w:themeColor="background1"/>
            </w:tcBorders>
            <w:vAlign w:val="bottom"/>
          </w:tcPr>
          <w:p w:rsidR="00B315A5" w:rsidRPr="002F25BB" w:rsidRDefault="00B315A5" w:rsidP="00DC3524">
            <w:pPr>
              <w:spacing w:line="264" w:lineRule="auto"/>
              <w:rPr>
                <w:b w:val="0"/>
                <w:sz w:val="20"/>
              </w:rPr>
            </w:pPr>
            <w:r w:rsidRPr="002F25BB">
              <w:rPr>
                <w:b w:val="0"/>
                <w:sz w:val="20"/>
              </w:rPr>
              <w:t>Coût d’investissement (€/kW)</w:t>
            </w:r>
          </w:p>
        </w:tc>
        <w:tc>
          <w:tcPr>
            <w:tcW w:w="1587" w:type="dxa"/>
            <w:tcBorders>
              <w:top w:val="single" w:sz="4" w:space="0" w:color="0070C0"/>
              <w:left w:val="single" w:sz="4" w:space="0" w:color="FFFFFF" w:themeColor="background1"/>
              <w:bottom w:val="single" w:sz="4" w:space="0" w:color="FFFFFF" w:themeColor="background1"/>
              <w:right w:val="single" w:sz="4" w:space="0" w:color="FFFFFF" w:themeColor="background1"/>
            </w:tcBorders>
            <w:vAlign w:val="bottom"/>
          </w:tcPr>
          <w:p w:rsidR="00B315A5" w:rsidRPr="002F25BB" w:rsidRDefault="008357C0" w:rsidP="00DC3524">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1100</w:t>
            </w:r>
          </w:p>
        </w:tc>
        <w:tc>
          <w:tcPr>
            <w:tcW w:w="1587" w:type="dxa"/>
            <w:tcBorders>
              <w:top w:val="single" w:sz="4" w:space="0" w:color="0070C0"/>
              <w:left w:val="single" w:sz="4" w:space="0" w:color="FFFFFF" w:themeColor="background1"/>
              <w:bottom w:val="single" w:sz="4" w:space="0" w:color="FFFFFF" w:themeColor="background1"/>
              <w:right w:val="single" w:sz="4" w:space="0" w:color="FFFFFF" w:themeColor="background1"/>
            </w:tcBorders>
            <w:vAlign w:val="bottom"/>
          </w:tcPr>
          <w:p w:rsidR="00B315A5" w:rsidRPr="002F25BB" w:rsidRDefault="00B315A5" w:rsidP="00DC3524">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2800</w:t>
            </w:r>
            <w:r w:rsidR="00DF0832" w:rsidRPr="002F25BB">
              <w:rPr>
                <w:rStyle w:val="Marquenotebasdepage"/>
                <w:sz w:val="20"/>
              </w:rPr>
              <w:footnoteReference w:id="17"/>
            </w:r>
          </w:p>
        </w:tc>
        <w:tc>
          <w:tcPr>
            <w:tcW w:w="1587" w:type="dxa"/>
            <w:tcBorders>
              <w:top w:val="single" w:sz="4" w:space="0" w:color="0070C0"/>
              <w:left w:val="single" w:sz="4" w:space="0" w:color="FFFFFF" w:themeColor="background1"/>
              <w:bottom w:val="single" w:sz="4" w:space="0" w:color="FFFFFF" w:themeColor="background1"/>
              <w:right w:val="single" w:sz="4" w:space="0" w:color="FFFFFF" w:themeColor="background1"/>
            </w:tcBorders>
            <w:vAlign w:val="bottom"/>
          </w:tcPr>
          <w:p w:rsidR="00B315A5" w:rsidRPr="002F25BB" w:rsidRDefault="0028528D" w:rsidP="00DC3524">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700</w:t>
            </w:r>
          </w:p>
        </w:tc>
      </w:tr>
      <w:tr w:rsidR="002F25BB" w:rsidRPr="00B315A5" w:rsidTr="002F25BB">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B315A5" w:rsidP="00B315A5">
            <w:pPr>
              <w:spacing w:line="264" w:lineRule="auto"/>
              <w:rPr>
                <w:b w:val="0"/>
                <w:sz w:val="20"/>
              </w:rPr>
            </w:pPr>
            <w:r w:rsidRPr="002F25BB">
              <w:rPr>
                <w:b w:val="0"/>
                <w:sz w:val="20"/>
              </w:rPr>
              <w:t>Coûts d’exploitation (€/kW/an)</w:t>
            </w:r>
          </w:p>
        </w:tc>
        <w:tc>
          <w:tcPr>
            <w:tcW w:w="1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8357C0" w:rsidP="0028528D">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55</w:t>
            </w:r>
          </w:p>
        </w:tc>
        <w:tc>
          <w:tcPr>
            <w:tcW w:w="1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B315A5" w:rsidP="008357C0">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80</w:t>
            </w:r>
          </w:p>
        </w:tc>
        <w:tc>
          <w:tcPr>
            <w:tcW w:w="1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28528D" w:rsidP="0028528D">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25</w:t>
            </w:r>
          </w:p>
        </w:tc>
      </w:tr>
      <w:tr w:rsidR="002F25BB" w:rsidRPr="00B315A5" w:rsidTr="002F25BB">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B315A5" w:rsidP="00B315A5">
            <w:pPr>
              <w:spacing w:line="264" w:lineRule="auto"/>
              <w:rPr>
                <w:b w:val="0"/>
                <w:sz w:val="20"/>
              </w:rPr>
            </w:pPr>
            <w:r w:rsidRPr="002F25BB">
              <w:rPr>
                <w:b w:val="0"/>
                <w:sz w:val="20"/>
              </w:rPr>
              <w:t>Production (kWh / kW installé = heures-équivalent)</w:t>
            </w:r>
          </w:p>
        </w:tc>
        <w:tc>
          <w:tcPr>
            <w:tcW w:w="1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F4178E" w:rsidP="0028528D">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23</w:t>
            </w:r>
            <w:r w:rsidR="008357C0" w:rsidRPr="002F25BB">
              <w:rPr>
                <w:sz w:val="20"/>
              </w:rPr>
              <w:t>00</w:t>
            </w:r>
            <w:r w:rsidRPr="002F25BB">
              <w:rPr>
                <w:rStyle w:val="Marquenotebasdepage"/>
                <w:sz w:val="20"/>
              </w:rPr>
              <w:footnoteReference w:id="18"/>
            </w:r>
          </w:p>
        </w:tc>
        <w:tc>
          <w:tcPr>
            <w:tcW w:w="1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B315A5" w:rsidP="0028528D">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3750</w:t>
            </w:r>
          </w:p>
        </w:tc>
        <w:tc>
          <w:tcPr>
            <w:tcW w:w="1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28528D" w:rsidP="0028528D">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1500</w:t>
            </w:r>
            <w:r w:rsidRPr="002F25BB">
              <w:rPr>
                <w:rStyle w:val="Marquenotebasdepage"/>
                <w:sz w:val="20"/>
              </w:rPr>
              <w:footnoteReference w:id="19"/>
            </w:r>
          </w:p>
        </w:tc>
      </w:tr>
      <w:tr w:rsidR="002F25BB" w:rsidRPr="00B315A5" w:rsidTr="002F25BB">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B315A5" w:rsidP="00B315A5">
            <w:pPr>
              <w:spacing w:line="264" w:lineRule="auto"/>
              <w:rPr>
                <w:b w:val="0"/>
                <w:sz w:val="20"/>
              </w:rPr>
            </w:pPr>
            <w:r w:rsidRPr="002F25BB">
              <w:rPr>
                <w:b w:val="0"/>
                <w:sz w:val="20"/>
              </w:rPr>
              <w:t>Durée de vie (années)</w:t>
            </w:r>
          </w:p>
        </w:tc>
        <w:tc>
          <w:tcPr>
            <w:tcW w:w="1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8357C0" w:rsidP="0028528D">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25</w:t>
            </w:r>
          </w:p>
        </w:tc>
        <w:tc>
          <w:tcPr>
            <w:tcW w:w="1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B315A5" w:rsidP="0028528D">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25</w:t>
            </w:r>
          </w:p>
        </w:tc>
        <w:tc>
          <w:tcPr>
            <w:tcW w:w="1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28528D" w:rsidP="0028528D">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30</w:t>
            </w:r>
          </w:p>
        </w:tc>
      </w:tr>
      <w:tr w:rsidR="002F25BB" w:rsidRPr="00B315A5" w:rsidTr="002F25BB">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B315A5" w:rsidP="00B315A5">
            <w:pPr>
              <w:spacing w:line="264" w:lineRule="auto"/>
              <w:rPr>
                <w:b w:val="0"/>
                <w:sz w:val="20"/>
              </w:rPr>
            </w:pPr>
            <w:r w:rsidRPr="002F25BB">
              <w:rPr>
                <w:b w:val="0"/>
                <w:sz w:val="20"/>
              </w:rPr>
              <w:t>Taux d’actualisation</w:t>
            </w:r>
          </w:p>
        </w:tc>
        <w:tc>
          <w:tcPr>
            <w:tcW w:w="1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8357C0" w:rsidP="008357C0">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 xml:space="preserve">5% </w:t>
            </w:r>
            <w:r w:rsidR="00DF0832" w:rsidRPr="002F25BB">
              <w:rPr>
                <w:rStyle w:val="Marquenotebasdepage"/>
                <w:sz w:val="20"/>
              </w:rPr>
              <w:footnoteReference w:id="20"/>
            </w:r>
          </w:p>
        </w:tc>
        <w:tc>
          <w:tcPr>
            <w:tcW w:w="1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B315A5" w:rsidP="0028528D">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7%</w:t>
            </w:r>
            <w:r w:rsidRPr="002F25BB">
              <w:rPr>
                <w:rStyle w:val="Marquenotebasdepage"/>
                <w:sz w:val="20"/>
              </w:rPr>
              <w:footnoteReference w:id="21"/>
            </w:r>
          </w:p>
        </w:tc>
        <w:tc>
          <w:tcPr>
            <w:tcW w:w="1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28528D" w:rsidP="0028528D">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5%</w:t>
            </w:r>
          </w:p>
        </w:tc>
      </w:tr>
      <w:tr w:rsidR="002F25BB" w:rsidRPr="00B315A5" w:rsidTr="007A423F">
        <w:trPr>
          <w:trHeight w:val="397"/>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FFFFFF" w:themeColor="background1"/>
              <w:left w:val="single" w:sz="4" w:space="0" w:color="FFFFFF" w:themeColor="background1"/>
              <w:bottom w:val="single" w:sz="4" w:space="0" w:color="0070C0"/>
              <w:right w:val="single" w:sz="4" w:space="0" w:color="FFFFFF" w:themeColor="background1"/>
            </w:tcBorders>
          </w:tcPr>
          <w:p w:rsidR="00B315A5" w:rsidRPr="002F25BB" w:rsidRDefault="00B315A5" w:rsidP="00DC3524">
            <w:pPr>
              <w:spacing w:line="264" w:lineRule="auto"/>
              <w:rPr>
                <w:b w:val="0"/>
                <w:sz w:val="20"/>
              </w:rPr>
            </w:pPr>
            <w:r w:rsidRPr="002F25BB">
              <w:rPr>
                <w:b w:val="0"/>
                <w:sz w:val="20"/>
              </w:rPr>
              <w:t>Coût de revient intrinsèque (€/MWh)</w:t>
            </w:r>
          </w:p>
        </w:tc>
        <w:tc>
          <w:tcPr>
            <w:tcW w:w="1587" w:type="dxa"/>
            <w:tcBorders>
              <w:top w:val="single" w:sz="4" w:space="0" w:color="FFFFFF" w:themeColor="background1"/>
              <w:left w:val="single" w:sz="4" w:space="0" w:color="FFFFFF" w:themeColor="background1"/>
              <w:bottom w:val="single" w:sz="4" w:space="0" w:color="0070C0"/>
              <w:right w:val="single" w:sz="4" w:space="0" w:color="FFFFFF" w:themeColor="background1"/>
            </w:tcBorders>
          </w:tcPr>
          <w:p w:rsidR="00B315A5" w:rsidRPr="002F25BB" w:rsidRDefault="008357C0" w:rsidP="00DC3524">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5</w:t>
            </w:r>
            <w:r w:rsidR="00F4178E" w:rsidRPr="002F25BB">
              <w:rPr>
                <w:sz w:val="20"/>
              </w:rPr>
              <w:t>7</w:t>
            </w:r>
          </w:p>
        </w:tc>
        <w:tc>
          <w:tcPr>
            <w:tcW w:w="1587" w:type="dxa"/>
            <w:tcBorders>
              <w:top w:val="single" w:sz="4" w:space="0" w:color="FFFFFF" w:themeColor="background1"/>
              <w:left w:val="single" w:sz="4" w:space="0" w:color="FFFFFF" w:themeColor="background1"/>
              <w:bottom w:val="single" w:sz="4" w:space="0" w:color="0070C0"/>
              <w:right w:val="single" w:sz="4" w:space="0" w:color="FFFFFF" w:themeColor="background1"/>
            </w:tcBorders>
          </w:tcPr>
          <w:p w:rsidR="00B315A5" w:rsidRPr="002F25BB" w:rsidRDefault="00B315A5" w:rsidP="00DC3524">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85</w:t>
            </w:r>
          </w:p>
        </w:tc>
        <w:tc>
          <w:tcPr>
            <w:tcW w:w="1587" w:type="dxa"/>
            <w:tcBorders>
              <w:top w:val="single" w:sz="4" w:space="0" w:color="FFFFFF" w:themeColor="background1"/>
              <w:left w:val="single" w:sz="4" w:space="0" w:color="FFFFFF" w:themeColor="background1"/>
              <w:bottom w:val="single" w:sz="4" w:space="0" w:color="0070C0"/>
              <w:right w:val="single" w:sz="4" w:space="0" w:color="FFFFFF" w:themeColor="background1"/>
            </w:tcBorders>
          </w:tcPr>
          <w:p w:rsidR="00B315A5" w:rsidRPr="002F25BB" w:rsidRDefault="0028528D" w:rsidP="00DC3524">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4</w:t>
            </w:r>
            <w:r w:rsidR="008357C0" w:rsidRPr="002F25BB">
              <w:rPr>
                <w:sz w:val="20"/>
              </w:rPr>
              <w:t>7</w:t>
            </w:r>
          </w:p>
        </w:tc>
      </w:tr>
      <w:tr w:rsidR="002F25BB" w:rsidRPr="00B315A5" w:rsidTr="007A423F">
        <w:trPr>
          <w:trHeight w:val="397"/>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70C0"/>
              <w:left w:val="single" w:sz="4" w:space="0" w:color="FFFFFF" w:themeColor="background1"/>
              <w:bottom w:val="single" w:sz="4" w:space="0" w:color="FFFFFF" w:themeColor="background1"/>
              <w:right w:val="single" w:sz="4" w:space="0" w:color="FFFFFF" w:themeColor="background1"/>
            </w:tcBorders>
            <w:vAlign w:val="bottom"/>
          </w:tcPr>
          <w:p w:rsidR="00B315A5" w:rsidRPr="002F25BB" w:rsidRDefault="00B315A5" w:rsidP="00DC3524">
            <w:pPr>
              <w:spacing w:line="264" w:lineRule="auto"/>
              <w:rPr>
                <w:b w:val="0"/>
                <w:sz w:val="20"/>
              </w:rPr>
            </w:pPr>
            <w:r w:rsidRPr="002F25BB">
              <w:rPr>
                <w:b w:val="0"/>
                <w:sz w:val="20"/>
              </w:rPr>
              <w:t>Puissance garantie</w:t>
            </w:r>
            <w:r w:rsidR="00DF0832" w:rsidRPr="002F25BB">
              <w:rPr>
                <w:rStyle w:val="Marquenotebasdepage"/>
                <w:b w:val="0"/>
                <w:sz w:val="20"/>
              </w:rPr>
              <w:footnoteReference w:id="22"/>
            </w:r>
            <w:r w:rsidRPr="002F25BB">
              <w:rPr>
                <w:b w:val="0"/>
                <w:sz w:val="20"/>
              </w:rPr>
              <w:t xml:space="preserve"> / puissance installée</w:t>
            </w:r>
          </w:p>
        </w:tc>
        <w:tc>
          <w:tcPr>
            <w:tcW w:w="1587" w:type="dxa"/>
            <w:tcBorders>
              <w:top w:val="single" w:sz="4" w:space="0" w:color="0070C0"/>
              <w:left w:val="single" w:sz="4" w:space="0" w:color="FFFFFF" w:themeColor="background1"/>
              <w:bottom w:val="single" w:sz="4" w:space="0" w:color="FFFFFF" w:themeColor="background1"/>
              <w:right w:val="single" w:sz="4" w:space="0" w:color="FFFFFF" w:themeColor="background1"/>
            </w:tcBorders>
            <w:vAlign w:val="bottom"/>
          </w:tcPr>
          <w:p w:rsidR="00B315A5" w:rsidRPr="002F25BB" w:rsidRDefault="00E75A25" w:rsidP="00DC3524">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10%</w:t>
            </w:r>
          </w:p>
        </w:tc>
        <w:tc>
          <w:tcPr>
            <w:tcW w:w="1587" w:type="dxa"/>
            <w:tcBorders>
              <w:top w:val="single" w:sz="4" w:space="0" w:color="0070C0"/>
              <w:left w:val="single" w:sz="4" w:space="0" w:color="FFFFFF" w:themeColor="background1"/>
              <w:bottom w:val="single" w:sz="4" w:space="0" w:color="FFFFFF" w:themeColor="background1"/>
              <w:right w:val="single" w:sz="4" w:space="0" w:color="FFFFFF" w:themeColor="background1"/>
            </w:tcBorders>
            <w:vAlign w:val="bottom"/>
          </w:tcPr>
          <w:p w:rsidR="00B315A5" w:rsidRPr="002F25BB" w:rsidRDefault="00DF0832" w:rsidP="00DC3524">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20%</w:t>
            </w:r>
          </w:p>
        </w:tc>
        <w:tc>
          <w:tcPr>
            <w:tcW w:w="1587" w:type="dxa"/>
            <w:tcBorders>
              <w:top w:val="single" w:sz="4" w:space="0" w:color="0070C0"/>
              <w:left w:val="single" w:sz="4" w:space="0" w:color="FFFFFF" w:themeColor="background1"/>
              <w:bottom w:val="single" w:sz="4" w:space="0" w:color="FFFFFF" w:themeColor="background1"/>
              <w:right w:val="single" w:sz="4" w:space="0" w:color="FFFFFF" w:themeColor="background1"/>
            </w:tcBorders>
            <w:vAlign w:val="bottom"/>
          </w:tcPr>
          <w:p w:rsidR="00B315A5" w:rsidRPr="002F25BB" w:rsidRDefault="0028528D" w:rsidP="00DC3524">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0%</w:t>
            </w:r>
          </w:p>
        </w:tc>
      </w:tr>
      <w:tr w:rsidR="00B315A5" w:rsidRPr="00B315A5" w:rsidTr="002F25BB">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B315A5" w:rsidP="00B315A5">
            <w:pPr>
              <w:spacing w:line="264" w:lineRule="auto"/>
              <w:rPr>
                <w:b w:val="0"/>
                <w:sz w:val="20"/>
              </w:rPr>
            </w:pPr>
            <w:r w:rsidRPr="002F25BB">
              <w:rPr>
                <w:b w:val="0"/>
                <w:sz w:val="20"/>
              </w:rPr>
              <w:t>Coût de « back-up » (€/MWh)</w:t>
            </w:r>
            <w:r w:rsidR="00211E31" w:rsidRPr="002F25BB">
              <w:rPr>
                <w:rStyle w:val="Marquenotebasdepage"/>
                <w:b w:val="0"/>
                <w:sz w:val="20"/>
              </w:rPr>
              <w:footnoteReference w:id="23"/>
            </w:r>
          </w:p>
        </w:tc>
        <w:tc>
          <w:tcPr>
            <w:tcW w:w="1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E75A25" w:rsidP="0028528D">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13</w:t>
            </w:r>
          </w:p>
        </w:tc>
        <w:tc>
          <w:tcPr>
            <w:tcW w:w="1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DF0832" w:rsidP="0028528D">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6</w:t>
            </w:r>
          </w:p>
        </w:tc>
        <w:tc>
          <w:tcPr>
            <w:tcW w:w="15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315A5" w:rsidRPr="002F25BB" w:rsidRDefault="0028528D" w:rsidP="0028528D">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25</w:t>
            </w:r>
          </w:p>
        </w:tc>
      </w:tr>
      <w:tr w:rsidR="002F25BB" w:rsidRPr="00B315A5" w:rsidTr="007A423F">
        <w:trPr>
          <w:trHeight w:val="397"/>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FFFFFF" w:themeColor="background1"/>
              <w:left w:val="single" w:sz="4" w:space="0" w:color="FFFFFF" w:themeColor="background1"/>
              <w:bottom w:val="single" w:sz="4" w:space="0" w:color="0070C0"/>
              <w:right w:val="single" w:sz="4" w:space="0" w:color="FFFFFF" w:themeColor="background1"/>
            </w:tcBorders>
          </w:tcPr>
          <w:p w:rsidR="00B315A5" w:rsidRPr="002F25BB" w:rsidRDefault="00B315A5" w:rsidP="00DC3524">
            <w:pPr>
              <w:spacing w:line="264" w:lineRule="auto"/>
              <w:rPr>
                <w:b w:val="0"/>
                <w:sz w:val="20"/>
              </w:rPr>
            </w:pPr>
            <w:r w:rsidRPr="002F25BB">
              <w:rPr>
                <w:b w:val="0"/>
                <w:sz w:val="20"/>
              </w:rPr>
              <w:t>Coût de raccord /renforcement réseau (€/MWh)</w:t>
            </w:r>
            <w:r w:rsidR="00211E31" w:rsidRPr="002F25BB">
              <w:rPr>
                <w:rStyle w:val="Marquenotebasdepage"/>
                <w:b w:val="0"/>
                <w:sz w:val="20"/>
              </w:rPr>
              <w:footnoteReference w:id="24"/>
            </w:r>
          </w:p>
        </w:tc>
        <w:tc>
          <w:tcPr>
            <w:tcW w:w="1587" w:type="dxa"/>
            <w:tcBorders>
              <w:top w:val="single" w:sz="4" w:space="0" w:color="FFFFFF" w:themeColor="background1"/>
              <w:left w:val="single" w:sz="4" w:space="0" w:color="FFFFFF" w:themeColor="background1"/>
              <w:bottom w:val="single" w:sz="4" w:space="0" w:color="0070C0"/>
              <w:right w:val="single" w:sz="4" w:space="0" w:color="FFFFFF" w:themeColor="background1"/>
            </w:tcBorders>
          </w:tcPr>
          <w:p w:rsidR="00B315A5" w:rsidRPr="002F25BB" w:rsidRDefault="00E75A25" w:rsidP="00DC3524">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7</w:t>
            </w:r>
          </w:p>
        </w:tc>
        <w:tc>
          <w:tcPr>
            <w:tcW w:w="1587" w:type="dxa"/>
            <w:tcBorders>
              <w:top w:val="single" w:sz="4" w:space="0" w:color="FFFFFF" w:themeColor="background1"/>
              <w:left w:val="single" w:sz="4" w:space="0" w:color="FFFFFF" w:themeColor="background1"/>
              <w:bottom w:val="single" w:sz="4" w:space="0" w:color="0070C0"/>
              <w:right w:val="single" w:sz="4" w:space="0" w:color="FFFFFF" w:themeColor="background1"/>
            </w:tcBorders>
          </w:tcPr>
          <w:p w:rsidR="00B315A5" w:rsidRPr="002F25BB" w:rsidRDefault="00DF0832" w:rsidP="00DC3524">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1</w:t>
            </w:r>
          </w:p>
        </w:tc>
        <w:tc>
          <w:tcPr>
            <w:tcW w:w="1587" w:type="dxa"/>
            <w:tcBorders>
              <w:top w:val="single" w:sz="4" w:space="0" w:color="FFFFFF" w:themeColor="background1"/>
              <w:left w:val="single" w:sz="4" w:space="0" w:color="FFFFFF" w:themeColor="background1"/>
              <w:bottom w:val="single" w:sz="4" w:space="0" w:color="0070C0"/>
              <w:right w:val="single" w:sz="4" w:space="0" w:color="FFFFFF" w:themeColor="background1"/>
            </w:tcBorders>
          </w:tcPr>
          <w:p w:rsidR="00B315A5" w:rsidRPr="002F25BB" w:rsidRDefault="0005000E" w:rsidP="00DC3524">
            <w:pPr>
              <w:spacing w:line="264" w:lineRule="auto"/>
              <w:jc w:val="center"/>
              <w:cnfStyle w:val="000000000000" w:firstRow="0" w:lastRow="0" w:firstColumn="0" w:lastColumn="0" w:oddVBand="0" w:evenVBand="0" w:oddHBand="0" w:evenHBand="0" w:firstRowFirstColumn="0" w:firstRowLastColumn="0" w:lastRowFirstColumn="0" w:lastRowLastColumn="0"/>
              <w:rPr>
                <w:sz w:val="20"/>
              </w:rPr>
            </w:pPr>
            <w:r w:rsidRPr="002F25BB">
              <w:rPr>
                <w:sz w:val="20"/>
              </w:rPr>
              <w:t>14</w:t>
            </w:r>
          </w:p>
        </w:tc>
      </w:tr>
      <w:tr w:rsidR="00B315A5" w:rsidRPr="00B315A5" w:rsidTr="007A423F">
        <w:trPr>
          <w:trHeight w:val="454"/>
        </w:trPr>
        <w:tc>
          <w:tcPr>
            <w:cnfStyle w:val="001000000000" w:firstRow="0" w:lastRow="0" w:firstColumn="1" w:lastColumn="0" w:oddVBand="0" w:evenVBand="0" w:oddHBand="0" w:evenHBand="0" w:firstRowFirstColumn="0" w:firstRowLastColumn="0" w:lastRowFirstColumn="0" w:lastRowLastColumn="0"/>
            <w:tcW w:w="4819" w:type="dxa"/>
            <w:tcBorders>
              <w:top w:val="single" w:sz="4" w:space="0" w:color="0070C0"/>
              <w:left w:val="single" w:sz="4" w:space="0" w:color="FFFFFF" w:themeColor="background1"/>
              <w:bottom w:val="single" w:sz="4" w:space="0" w:color="0070C0"/>
              <w:right w:val="single" w:sz="4" w:space="0" w:color="FFFFFF" w:themeColor="background1"/>
            </w:tcBorders>
            <w:vAlign w:val="center"/>
          </w:tcPr>
          <w:p w:rsidR="00B315A5" w:rsidRPr="002F25BB" w:rsidRDefault="00B315A5" w:rsidP="00B315A5">
            <w:pPr>
              <w:spacing w:line="264" w:lineRule="auto"/>
              <w:rPr>
                <w:sz w:val="20"/>
              </w:rPr>
            </w:pPr>
            <w:r w:rsidRPr="002F25BB">
              <w:rPr>
                <w:sz w:val="20"/>
              </w:rPr>
              <w:t>Coût de revient total (€/MWh)</w:t>
            </w:r>
          </w:p>
        </w:tc>
        <w:tc>
          <w:tcPr>
            <w:tcW w:w="1587" w:type="dxa"/>
            <w:tcBorders>
              <w:top w:val="single" w:sz="4" w:space="0" w:color="0070C0"/>
              <w:left w:val="single" w:sz="4" w:space="0" w:color="FFFFFF" w:themeColor="background1"/>
              <w:bottom w:val="single" w:sz="4" w:space="0" w:color="0070C0"/>
              <w:right w:val="single" w:sz="4" w:space="0" w:color="FFFFFF" w:themeColor="background1"/>
            </w:tcBorders>
            <w:vAlign w:val="center"/>
          </w:tcPr>
          <w:p w:rsidR="00B315A5" w:rsidRPr="002F25BB" w:rsidRDefault="008357C0" w:rsidP="00F4178E">
            <w:pPr>
              <w:spacing w:line="264" w:lineRule="auto"/>
              <w:jc w:val="center"/>
              <w:cnfStyle w:val="000000000000" w:firstRow="0" w:lastRow="0" w:firstColumn="0" w:lastColumn="0" w:oddVBand="0" w:evenVBand="0" w:oddHBand="0" w:evenHBand="0" w:firstRowFirstColumn="0" w:firstRowLastColumn="0" w:lastRowFirstColumn="0" w:lastRowLastColumn="0"/>
              <w:rPr>
                <w:b/>
                <w:sz w:val="20"/>
              </w:rPr>
            </w:pPr>
            <w:r w:rsidRPr="002F25BB">
              <w:rPr>
                <w:b/>
                <w:sz w:val="20"/>
              </w:rPr>
              <w:t>7</w:t>
            </w:r>
            <w:r w:rsidR="00F4178E" w:rsidRPr="002F25BB">
              <w:rPr>
                <w:b/>
                <w:sz w:val="20"/>
              </w:rPr>
              <w:t>7</w:t>
            </w:r>
          </w:p>
        </w:tc>
        <w:tc>
          <w:tcPr>
            <w:tcW w:w="1587" w:type="dxa"/>
            <w:tcBorders>
              <w:top w:val="single" w:sz="4" w:space="0" w:color="0070C0"/>
              <w:left w:val="single" w:sz="4" w:space="0" w:color="FFFFFF" w:themeColor="background1"/>
              <w:bottom w:val="single" w:sz="4" w:space="0" w:color="0070C0"/>
              <w:right w:val="single" w:sz="4" w:space="0" w:color="FFFFFF" w:themeColor="background1"/>
            </w:tcBorders>
            <w:vAlign w:val="center"/>
          </w:tcPr>
          <w:p w:rsidR="00B315A5" w:rsidRPr="002F25BB" w:rsidRDefault="00DF0832" w:rsidP="0028528D">
            <w:pPr>
              <w:spacing w:line="264" w:lineRule="auto"/>
              <w:jc w:val="center"/>
              <w:cnfStyle w:val="000000000000" w:firstRow="0" w:lastRow="0" w:firstColumn="0" w:lastColumn="0" w:oddVBand="0" w:evenVBand="0" w:oddHBand="0" w:evenHBand="0" w:firstRowFirstColumn="0" w:firstRowLastColumn="0" w:lastRowFirstColumn="0" w:lastRowLastColumn="0"/>
              <w:rPr>
                <w:b/>
                <w:sz w:val="20"/>
              </w:rPr>
            </w:pPr>
            <w:r w:rsidRPr="002F25BB">
              <w:rPr>
                <w:b/>
                <w:sz w:val="20"/>
              </w:rPr>
              <w:t>92</w:t>
            </w:r>
          </w:p>
        </w:tc>
        <w:tc>
          <w:tcPr>
            <w:tcW w:w="1587" w:type="dxa"/>
            <w:tcBorders>
              <w:top w:val="single" w:sz="4" w:space="0" w:color="0070C0"/>
              <w:left w:val="single" w:sz="4" w:space="0" w:color="FFFFFF" w:themeColor="background1"/>
              <w:bottom w:val="single" w:sz="4" w:space="0" w:color="0070C0"/>
              <w:right w:val="single" w:sz="4" w:space="0" w:color="FFFFFF" w:themeColor="background1"/>
            </w:tcBorders>
            <w:vAlign w:val="center"/>
          </w:tcPr>
          <w:p w:rsidR="00B315A5" w:rsidRPr="002F25BB" w:rsidRDefault="0005000E" w:rsidP="00F4178E">
            <w:pPr>
              <w:spacing w:line="264" w:lineRule="auto"/>
              <w:jc w:val="center"/>
              <w:cnfStyle w:val="000000000000" w:firstRow="0" w:lastRow="0" w:firstColumn="0" w:lastColumn="0" w:oddVBand="0" w:evenVBand="0" w:oddHBand="0" w:evenHBand="0" w:firstRowFirstColumn="0" w:firstRowLastColumn="0" w:lastRowFirstColumn="0" w:lastRowLastColumn="0"/>
              <w:rPr>
                <w:b/>
                <w:sz w:val="20"/>
              </w:rPr>
            </w:pPr>
            <w:r w:rsidRPr="002F25BB">
              <w:rPr>
                <w:b/>
                <w:sz w:val="20"/>
              </w:rPr>
              <w:t>8</w:t>
            </w:r>
            <w:r w:rsidR="00F4178E" w:rsidRPr="002F25BB">
              <w:rPr>
                <w:b/>
                <w:sz w:val="20"/>
              </w:rPr>
              <w:t>6</w:t>
            </w:r>
          </w:p>
        </w:tc>
      </w:tr>
    </w:tbl>
    <w:p w:rsidR="00211DC5" w:rsidRDefault="00211DC5" w:rsidP="00AA1D17">
      <w:pPr>
        <w:spacing w:line="264" w:lineRule="auto"/>
        <w:jc w:val="both"/>
      </w:pPr>
    </w:p>
    <w:sectPr w:rsidR="00211DC5" w:rsidSect="007155E9">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0E7" w:rsidRDefault="007370E7" w:rsidP="00F2535B">
      <w:pPr>
        <w:spacing w:after="0" w:line="240" w:lineRule="auto"/>
      </w:pPr>
      <w:r>
        <w:separator/>
      </w:r>
    </w:p>
  </w:endnote>
  <w:endnote w:type="continuationSeparator" w:id="0">
    <w:p w:rsidR="007370E7" w:rsidRDefault="007370E7" w:rsidP="00F25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450606"/>
      <w:docPartObj>
        <w:docPartGallery w:val="Page Numbers (Bottom of Page)"/>
        <w:docPartUnique/>
      </w:docPartObj>
    </w:sdtPr>
    <w:sdtEndPr/>
    <w:sdtContent>
      <w:p w:rsidR="000061CA" w:rsidRDefault="000061CA">
        <w:pPr>
          <w:pStyle w:val="Pieddepage"/>
          <w:jc w:val="right"/>
        </w:pPr>
        <w:r>
          <w:fldChar w:fldCharType="begin"/>
        </w:r>
        <w:r>
          <w:instrText>PAGE   \* MERGEFORMAT</w:instrText>
        </w:r>
        <w:r>
          <w:fldChar w:fldCharType="separate"/>
        </w:r>
        <w:r w:rsidR="00424408">
          <w:rPr>
            <w:noProof/>
          </w:rPr>
          <w:t>1</w:t>
        </w:r>
        <w:r>
          <w:fldChar w:fldCharType="end"/>
        </w:r>
      </w:p>
    </w:sdtContent>
  </w:sdt>
  <w:p w:rsidR="000061CA" w:rsidRDefault="000061C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0E7" w:rsidRDefault="007370E7" w:rsidP="00F2535B">
      <w:pPr>
        <w:spacing w:after="0" w:line="240" w:lineRule="auto"/>
      </w:pPr>
      <w:r>
        <w:separator/>
      </w:r>
    </w:p>
  </w:footnote>
  <w:footnote w:type="continuationSeparator" w:id="0">
    <w:p w:rsidR="007370E7" w:rsidRDefault="007370E7" w:rsidP="00F2535B">
      <w:pPr>
        <w:spacing w:after="0" w:line="240" w:lineRule="auto"/>
      </w:pPr>
      <w:r>
        <w:continuationSeparator/>
      </w:r>
    </w:p>
  </w:footnote>
  <w:footnote w:id="1">
    <w:p w:rsidR="000061CA" w:rsidRDefault="000061CA" w:rsidP="00412494">
      <w:pPr>
        <w:pStyle w:val="Notedebasdepage"/>
        <w:spacing w:after="60"/>
        <w:jc w:val="both"/>
      </w:pPr>
      <w:r>
        <w:rPr>
          <w:rStyle w:val="Marquenotebasdepage"/>
        </w:rPr>
        <w:footnoteRef/>
      </w:r>
      <w:r>
        <w:t xml:space="preserve"> Cette faible part des sources fossiles dans le mix électrique (moins de 10%) explique pourquoi les émissions de gaz à effet de serre sont de 6 tonnes (en équivalent CO</w:t>
      </w:r>
      <w:r w:rsidRPr="005E057D">
        <w:rPr>
          <w:vertAlign w:val="subscript"/>
        </w:rPr>
        <w:t>2</w:t>
      </w:r>
      <w:r>
        <w:t>) par habitant et par an en France contre 10 en Allemagne.</w:t>
      </w:r>
    </w:p>
  </w:footnote>
  <w:footnote w:id="2">
    <w:p w:rsidR="000061CA" w:rsidRDefault="000061CA" w:rsidP="00412494">
      <w:pPr>
        <w:pStyle w:val="Notedebasdepage"/>
        <w:spacing w:after="60"/>
        <w:jc w:val="both"/>
      </w:pPr>
      <w:r>
        <w:rPr>
          <w:rStyle w:val="Marquenotebasdepage"/>
        </w:rPr>
        <w:footnoteRef/>
      </w:r>
      <w:r>
        <w:t xml:space="preserve"> La date « de démarrage » annoncée par EDF, fin 2018, correspondra au mieux à un premier chargement de combustible en réacteur. Dix-huit mois de tests et de montée progressive à pleine puissance étant un minimum, la date de mi-2020 semble réellement une date au plus tôt pour la mise en service proprement dite.</w:t>
      </w:r>
    </w:p>
  </w:footnote>
  <w:footnote w:id="3">
    <w:p w:rsidR="000061CA" w:rsidRDefault="000061CA" w:rsidP="00412494">
      <w:pPr>
        <w:pStyle w:val="Notedebasdepage"/>
        <w:spacing w:after="60"/>
        <w:jc w:val="both"/>
      </w:pPr>
      <w:r>
        <w:rPr>
          <w:rStyle w:val="Marquenotebasdepage"/>
        </w:rPr>
        <w:footnoteRef/>
      </w:r>
      <w:r>
        <w:t xml:space="preserve"> Chiffre très indicatif, car il interagit avec la demande d’électricité et le solde des échanges avec les pays voisins.</w:t>
      </w:r>
    </w:p>
  </w:footnote>
  <w:footnote w:id="4">
    <w:p w:rsidR="000061CA" w:rsidRDefault="000061CA" w:rsidP="00412494">
      <w:pPr>
        <w:pStyle w:val="Notedebasdepage"/>
        <w:spacing w:after="60"/>
        <w:jc w:val="both"/>
      </w:pPr>
      <w:r>
        <w:rPr>
          <w:rStyle w:val="Marquenotebasdepage"/>
        </w:rPr>
        <w:footnoteRef/>
      </w:r>
      <w:r>
        <w:t xml:space="preserve"> Les 2 tranches de Fessenheim (dont l’arrêt est prévu) sont exclues, la tranche EPR de Flamanville 3 est incluse.</w:t>
      </w:r>
    </w:p>
  </w:footnote>
  <w:footnote w:id="5">
    <w:p w:rsidR="000061CA" w:rsidRDefault="000061CA" w:rsidP="00412494">
      <w:pPr>
        <w:pStyle w:val="Notedebasdepage"/>
        <w:spacing w:after="60"/>
        <w:jc w:val="both"/>
      </w:pPr>
      <w:r>
        <w:rPr>
          <w:rStyle w:val="Marquenotebasdepage"/>
        </w:rPr>
        <w:footnoteRef/>
      </w:r>
      <w:r>
        <w:t xml:space="preserve"> Cet horizon de la prochaine PPE correspondra à un mix électrique dans lequel la place des renouvelables intermittents est de 15% (en retenant comme borne inférieure le scénario « ENR bas » de la PPE 2016 pour 2023) à 20% ou à peine davantage (scénario « nouveau mix » de RTE 2014, avec 50% de nucléaire et 22% d’éolien-photovoltaïque en 2030). A un horizon plus lointain, une pénétration plus forte des renouvelables est possible, mais les coûts d’insertions deviennent plus élevés, le progrès des technologies (de production, de stockage, de pilotage de la demande) pouvant toutefois les contrebalancer. Les estimations deviennent plus incertaines.</w:t>
      </w:r>
    </w:p>
  </w:footnote>
  <w:footnote w:id="6">
    <w:p w:rsidR="000061CA" w:rsidRDefault="000061CA" w:rsidP="00412494">
      <w:pPr>
        <w:pStyle w:val="Notedebasdepage"/>
        <w:spacing w:after="60"/>
        <w:jc w:val="both"/>
      </w:pPr>
      <w:r>
        <w:rPr>
          <w:rStyle w:val="Marquenotebasdepage"/>
        </w:rPr>
        <w:footnoteRef/>
      </w:r>
      <w:r>
        <w:t xml:space="preserve"> Source : bilan 2016 de RTE, après retraitement pour considérer une disponibilité moyenne du parc nucléaire et une consommation corrigée des variations climatiques.</w:t>
      </w:r>
    </w:p>
  </w:footnote>
  <w:footnote w:id="7">
    <w:p w:rsidR="000061CA" w:rsidRDefault="000061CA" w:rsidP="00412494">
      <w:pPr>
        <w:pStyle w:val="Notedebasdepage"/>
        <w:spacing w:after="60"/>
        <w:jc w:val="both"/>
      </w:pPr>
      <w:r>
        <w:rPr>
          <w:rStyle w:val="Marquenotebasdepage"/>
        </w:rPr>
        <w:footnoteRef/>
      </w:r>
      <w:r>
        <w:t xml:space="preserve"> C’est le « merit order », qui commande d’appeler à chaque instant les moyens de production disponibles par ordre croissant de coût variable.</w:t>
      </w:r>
    </w:p>
  </w:footnote>
  <w:footnote w:id="8">
    <w:p w:rsidR="000061CA" w:rsidRDefault="000061CA" w:rsidP="00412494">
      <w:pPr>
        <w:pStyle w:val="Notedebasdepage"/>
        <w:spacing w:after="60"/>
        <w:jc w:val="both"/>
      </w:pPr>
      <w:r>
        <w:rPr>
          <w:rStyle w:val="Marquenotebasdepage"/>
        </w:rPr>
        <w:footnoteRef/>
      </w:r>
      <w:r>
        <w:t xml:space="preserve"> Soit une production électrique renouvelable égale à 40% de la consommation, conduisant à un peu plus de 20% d’éolien et photovoltaïque dans le mix de production.</w:t>
      </w:r>
    </w:p>
  </w:footnote>
  <w:footnote w:id="9">
    <w:p w:rsidR="000061CA" w:rsidRDefault="000061CA" w:rsidP="00412494">
      <w:pPr>
        <w:pStyle w:val="Notedebasdepage"/>
        <w:spacing w:after="60"/>
        <w:jc w:val="both"/>
      </w:pPr>
      <w:r>
        <w:rPr>
          <w:rStyle w:val="Marquenotebasdepage"/>
        </w:rPr>
        <w:footnoteRef/>
      </w:r>
      <w:r>
        <w:t xml:space="preserve"> En 2017, un ménage qui se fournit au tarif réglementé de vente (option heures pleines – heures creuses) paie en moyenne 161 €/MWh, décomposés en 50 pour la production d’énergie, 10 pour la commercialisation, 42 pour le réseau, 34 de taxes spécifiques et 25 de TVA.</w:t>
      </w:r>
    </w:p>
  </w:footnote>
  <w:footnote w:id="10">
    <w:p w:rsidR="000061CA" w:rsidRDefault="000061CA" w:rsidP="00412494">
      <w:pPr>
        <w:pStyle w:val="Notedebasdepage"/>
        <w:spacing w:after="60"/>
        <w:jc w:val="both"/>
      </w:pPr>
      <w:r>
        <w:rPr>
          <w:rStyle w:val="Marquenotebasdepage"/>
        </w:rPr>
        <w:footnoteRef/>
      </w:r>
      <w:r>
        <w:t xml:space="preserve"> Flamanville 3 et les deux tranches de Hinkley Point C.</w:t>
      </w:r>
    </w:p>
  </w:footnote>
  <w:footnote w:id="11">
    <w:p w:rsidR="000061CA" w:rsidRDefault="000061CA" w:rsidP="00412494">
      <w:pPr>
        <w:pStyle w:val="Notedebasdepage"/>
        <w:spacing w:after="60"/>
        <w:jc w:val="both"/>
      </w:pPr>
      <w:r>
        <w:rPr>
          <w:rStyle w:val="Marquenotebasdepage"/>
        </w:rPr>
        <w:footnoteRef/>
      </w:r>
      <w:r>
        <w:t xml:space="preserve"> Olkiluoto 3 (Finlande), engagée deux ans avant Flamanville et dont la mise en service est loin d’être en vue, et les deux tranches de Taishan (Chine).</w:t>
      </w:r>
    </w:p>
  </w:footnote>
  <w:footnote w:id="12">
    <w:p w:rsidR="000061CA" w:rsidRDefault="000061CA" w:rsidP="00412494">
      <w:pPr>
        <w:pStyle w:val="Notedebasdepage"/>
        <w:spacing w:after="60"/>
        <w:jc w:val="both"/>
      </w:pPr>
      <w:r>
        <w:rPr>
          <w:rStyle w:val="Marquenotebasdepage"/>
        </w:rPr>
        <w:footnoteRef/>
      </w:r>
      <w:r>
        <w:t xml:space="preserve"> En quelques chiffres : la dette financière nette s’élève (fin 2016) à 37,4 Md€, soit 2,3 fois l’excédent brut d’exploitation (EBITDA) ; un recensement plus complet des obligations à rembourser, notamment les quelque 10 Md€ de titres hybrides émis depuis quelques années, donne cependant un ratio plus proche de 4. L’augmentation de capital de 2016, 4 Md€ dont 3 apportés par l’Etat, n’est pas une solution récurrente. Remarquons enfin que la valeur de marché d’EDF (au cours du 04.07.2017), 26,5 Md€, est de l’ordre du coût d’investissement de Hinkley Point.</w:t>
      </w:r>
    </w:p>
  </w:footnote>
  <w:footnote w:id="13">
    <w:p w:rsidR="000061CA" w:rsidRDefault="000061CA" w:rsidP="00412494">
      <w:pPr>
        <w:pStyle w:val="Notedebasdepage"/>
        <w:spacing w:after="60"/>
        <w:jc w:val="both"/>
      </w:pPr>
      <w:r>
        <w:rPr>
          <w:rStyle w:val="Marquenotebasdepage"/>
        </w:rPr>
        <w:footnoteRef/>
      </w:r>
      <w:r>
        <w:t xml:space="preserve"> La loi NOME pose le principe d’une couverture des coûts du parc existant, assortie d’une rémunération raisonnable des investissements passés non encore amortis (ce qui donne un prix administré de 42 €/MWh), mais l’ARENH permet de fait à tout fournisseur de choisir entre le prix administré et celui du marché. Conséquence : EDF est sûre d’encaisser le minimum des deux, ce qui prive de visibilité et exclut la couverture dans la durée.</w:t>
      </w:r>
    </w:p>
  </w:footnote>
  <w:footnote w:id="14">
    <w:p w:rsidR="000061CA" w:rsidRDefault="000061CA" w:rsidP="00412494">
      <w:pPr>
        <w:pStyle w:val="Notedebasdepage"/>
        <w:spacing w:after="60"/>
        <w:jc w:val="both"/>
      </w:pPr>
      <w:r>
        <w:rPr>
          <w:rStyle w:val="Marquenotebasdepage"/>
        </w:rPr>
        <w:footnoteRef/>
      </w:r>
      <w:r>
        <w:t xml:space="preserve"> L’expression est de Marcel Boiteux. L’acquisition de connaissances dans différentes filières, la construction du petit réacteur de Chooz A puis l’association à la centrale belge de Tihange, le gréement d’un constructeur </w:t>
      </w:r>
      <w:r w:rsidRPr="0094087F">
        <w:rPr>
          <w:smallCaps/>
        </w:rPr>
        <w:t>(Framatome)</w:t>
      </w:r>
      <w:r>
        <w:rPr>
          <w:smallCaps/>
        </w:rPr>
        <w:t>,</w:t>
      </w:r>
      <w:r>
        <w:t xml:space="preserve"> la qualité des évaluations économiques … ont permis, à l’heure du choix engageant, de faire accepter aux pouvoirs publics la solution américaine et l’abandon de la filière nationale gaz-graphite du CEA.</w:t>
      </w:r>
    </w:p>
  </w:footnote>
  <w:footnote w:id="15">
    <w:p w:rsidR="000061CA" w:rsidRPr="00200AAB" w:rsidRDefault="000061CA" w:rsidP="00200AAB">
      <w:pPr>
        <w:pStyle w:val="Notedebasdepage"/>
        <w:spacing w:after="40"/>
        <w:jc w:val="both"/>
        <w:rPr>
          <w:sz w:val="18"/>
        </w:rPr>
      </w:pPr>
      <w:r>
        <w:rPr>
          <w:rStyle w:val="Marquenotebasdepage"/>
        </w:rPr>
        <w:footnoteRef/>
      </w:r>
      <w:r>
        <w:t xml:space="preserve"> </w:t>
      </w:r>
      <w:r w:rsidRPr="00200AAB">
        <w:rPr>
          <w:sz w:val="18"/>
        </w:rPr>
        <w:t>Pour illustrer ce domaine de validité : le taux de production ENR intermittente est en 2016 de 5,5%. En 2023, selon la PPE, il atteint 15 à 16%. En 2030, selon le scénario « nouveau mix » de RTE 2014 (qui montre 50% de nucléaire), il atteindrait 22%.</w:t>
      </w:r>
    </w:p>
  </w:footnote>
  <w:footnote w:id="16">
    <w:p w:rsidR="000061CA" w:rsidRPr="00200AAB" w:rsidRDefault="000061CA" w:rsidP="00200AAB">
      <w:pPr>
        <w:pStyle w:val="Notedebasdepage"/>
        <w:spacing w:after="40"/>
        <w:jc w:val="both"/>
        <w:rPr>
          <w:sz w:val="18"/>
        </w:rPr>
      </w:pPr>
      <w:r w:rsidRPr="00200AAB">
        <w:rPr>
          <w:rStyle w:val="Marquenotebasdepage"/>
          <w:sz w:val="18"/>
        </w:rPr>
        <w:footnoteRef/>
      </w:r>
      <w:r w:rsidRPr="00200AAB">
        <w:rPr>
          <w:sz w:val="18"/>
        </w:rPr>
        <w:t xml:space="preserve"> Grande ferme de panneaux photovoltaïques au sol, avec </w:t>
      </w:r>
      <w:r w:rsidRPr="00200AAB">
        <w:rPr>
          <w:i/>
          <w:sz w:val="18"/>
        </w:rPr>
        <w:t>trackers</w:t>
      </w:r>
      <w:r w:rsidRPr="00200AAB">
        <w:rPr>
          <w:sz w:val="18"/>
        </w:rPr>
        <w:t>. Considéré comme moyen de référence, car c’est la principale technologie prévue dans les développements programmés dans la PPE, loin devant les panneaux en toiture.</w:t>
      </w:r>
    </w:p>
  </w:footnote>
  <w:footnote w:id="17">
    <w:p w:rsidR="000061CA" w:rsidRPr="00200AAB" w:rsidRDefault="000061CA" w:rsidP="00200AAB">
      <w:pPr>
        <w:pStyle w:val="Notedebasdepage"/>
        <w:spacing w:after="40"/>
        <w:jc w:val="both"/>
        <w:rPr>
          <w:sz w:val="18"/>
        </w:rPr>
      </w:pPr>
      <w:r w:rsidRPr="00200AAB">
        <w:rPr>
          <w:rStyle w:val="Marquenotebasdepage"/>
          <w:sz w:val="18"/>
        </w:rPr>
        <w:footnoteRef/>
      </w:r>
      <w:r w:rsidRPr="00200AAB">
        <w:rPr>
          <w:sz w:val="18"/>
        </w:rPr>
        <w:t xml:space="preserve"> Y compris le réseau spécifique pour collecter l’énergie et l’amener à la terre.</w:t>
      </w:r>
    </w:p>
  </w:footnote>
  <w:footnote w:id="18">
    <w:p w:rsidR="000061CA" w:rsidRPr="00200AAB" w:rsidRDefault="000061CA" w:rsidP="00200AAB">
      <w:pPr>
        <w:pStyle w:val="Notedebasdepage"/>
        <w:spacing w:after="40"/>
        <w:jc w:val="both"/>
        <w:rPr>
          <w:sz w:val="18"/>
        </w:rPr>
      </w:pPr>
      <w:r w:rsidRPr="00200AAB">
        <w:rPr>
          <w:rStyle w:val="Marquenotebasdepage"/>
          <w:sz w:val="18"/>
        </w:rPr>
        <w:footnoteRef/>
      </w:r>
      <w:r w:rsidRPr="00200AAB">
        <w:rPr>
          <w:sz w:val="18"/>
        </w:rPr>
        <w:t xml:space="preserve"> Soit une vitesse de vent entre 7 et 7,5 m/s, représentative de sites français assez bien ventés, sans plus.</w:t>
      </w:r>
    </w:p>
  </w:footnote>
  <w:footnote w:id="19">
    <w:p w:rsidR="000061CA" w:rsidRPr="00200AAB" w:rsidRDefault="000061CA" w:rsidP="00200AAB">
      <w:pPr>
        <w:pStyle w:val="Notedebasdepage"/>
        <w:spacing w:after="40"/>
        <w:jc w:val="both"/>
        <w:rPr>
          <w:sz w:val="18"/>
        </w:rPr>
      </w:pPr>
      <w:r w:rsidRPr="00200AAB">
        <w:rPr>
          <w:rStyle w:val="Marquenotebasdepage"/>
          <w:sz w:val="18"/>
        </w:rPr>
        <w:footnoteRef/>
      </w:r>
      <w:r w:rsidRPr="00200AAB">
        <w:rPr>
          <w:sz w:val="18"/>
        </w:rPr>
        <w:t xml:space="preserve"> Moyenne France (Aix-en-Provence : 1700 ; Lille : 1100), légèrement surpondérée vers le sud.</w:t>
      </w:r>
    </w:p>
  </w:footnote>
  <w:footnote w:id="20">
    <w:p w:rsidR="000061CA" w:rsidRPr="00200AAB" w:rsidRDefault="000061CA" w:rsidP="00200AAB">
      <w:pPr>
        <w:pStyle w:val="Notedebasdepage"/>
        <w:spacing w:after="40"/>
        <w:jc w:val="both"/>
        <w:rPr>
          <w:sz w:val="18"/>
        </w:rPr>
      </w:pPr>
      <w:r w:rsidRPr="00200AAB">
        <w:rPr>
          <w:rStyle w:val="Marquenotebasdepage"/>
          <w:sz w:val="18"/>
        </w:rPr>
        <w:footnoteRef/>
      </w:r>
      <w:r w:rsidRPr="00200AAB">
        <w:rPr>
          <w:sz w:val="18"/>
        </w:rPr>
        <w:t xml:space="preserve"> Sous l’hypothèse d’un contrat long terme de vente de l’énergie, on applique un taux d’actualisation à peine supérieur au taux moyen retenu par France Stratégie.</w:t>
      </w:r>
    </w:p>
  </w:footnote>
  <w:footnote w:id="21">
    <w:p w:rsidR="000061CA" w:rsidRPr="00200AAB" w:rsidRDefault="000061CA" w:rsidP="00200AAB">
      <w:pPr>
        <w:pStyle w:val="Notedebasdepage"/>
        <w:spacing w:after="40"/>
        <w:jc w:val="both"/>
        <w:rPr>
          <w:sz w:val="18"/>
        </w:rPr>
      </w:pPr>
      <w:r w:rsidRPr="00200AAB">
        <w:rPr>
          <w:rStyle w:val="Marquenotebasdepage"/>
          <w:sz w:val="18"/>
        </w:rPr>
        <w:footnoteRef/>
      </w:r>
      <w:r w:rsidRPr="00200AAB">
        <w:rPr>
          <w:sz w:val="18"/>
        </w:rPr>
        <w:t xml:space="preserve"> Même hypothèse, mais le taux est majoré pour tenir compte d’un risque industriel plus grand.</w:t>
      </w:r>
    </w:p>
  </w:footnote>
  <w:footnote w:id="22">
    <w:p w:rsidR="000061CA" w:rsidRPr="00200AAB" w:rsidRDefault="000061CA" w:rsidP="00200AAB">
      <w:pPr>
        <w:pStyle w:val="Notedebasdepage"/>
        <w:spacing w:after="40"/>
        <w:jc w:val="both"/>
        <w:rPr>
          <w:sz w:val="18"/>
        </w:rPr>
      </w:pPr>
      <w:r w:rsidRPr="00200AAB">
        <w:rPr>
          <w:rStyle w:val="Marquenotebasdepage"/>
          <w:sz w:val="18"/>
        </w:rPr>
        <w:footnoteRef/>
      </w:r>
      <w:r w:rsidRPr="00200AAB">
        <w:rPr>
          <w:sz w:val="18"/>
        </w:rPr>
        <w:t xml:space="preserve"> Puissance minimale sur laquelle on peut statistiquement compter lors des pointes du système électrique.</w:t>
      </w:r>
    </w:p>
  </w:footnote>
  <w:footnote w:id="23">
    <w:p w:rsidR="000061CA" w:rsidRPr="00200AAB" w:rsidRDefault="000061CA" w:rsidP="00200AAB">
      <w:pPr>
        <w:pStyle w:val="Notedebasdepage"/>
        <w:spacing w:after="40"/>
        <w:jc w:val="both"/>
        <w:rPr>
          <w:sz w:val="18"/>
        </w:rPr>
      </w:pPr>
      <w:r w:rsidRPr="00200AAB">
        <w:rPr>
          <w:rStyle w:val="Marquenotebasdepage"/>
          <w:sz w:val="18"/>
        </w:rPr>
        <w:footnoteRef/>
      </w:r>
      <w:r w:rsidRPr="00200AAB">
        <w:rPr>
          <w:sz w:val="18"/>
        </w:rPr>
        <w:t xml:space="preserve"> On compte comme coût de back-up la différence entre le taux de la ligne précédente et celui d’un moyen thermique (95%), exprimée en kW et valorisée au prix attendu de la capacité (30 €/kW, ce qui semble majorant puisque le prix révélé par le mécanisme de capacité en 2017 est de 10 €/kW), ce coût étant enfin rapporté au nombre de MWh produits par kW installé.</w:t>
      </w:r>
    </w:p>
  </w:footnote>
  <w:footnote w:id="24">
    <w:p w:rsidR="000061CA" w:rsidRPr="00200AAB" w:rsidRDefault="000061CA" w:rsidP="00200AAB">
      <w:pPr>
        <w:pStyle w:val="Notedebasdepage"/>
        <w:spacing w:after="40"/>
        <w:jc w:val="both"/>
        <w:rPr>
          <w:sz w:val="18"/>
        </w:rPr>
      </w:pPr>
      <w:r w:rsidRPr="00200AAB">
        <w:rPr>
          <w:rStyle w:val="Marquenotebasdepage"/>
          <w:sz w:val="18"/>
        </w:rPr>
        <w:footnoteRef/>
      </w:r>
      <w:r w:rsidRPr="00200AAB">
        <w:rPr>
          <w:sz w:val="18"/>
        </w:rPr>
        <w:t xml:space="preserve"> Pour le réseau de distribution, investissement de 80 €/kW (pour une ferme éolienne d’une douzaine de MW), de zéro pour l’éolien maritime, de 120 €/kW pour une ferme PV de quelques MW (d’après ENEDIS) ; pour le réseau de transport, investissement d’environ 50 €/kW (d’après le chiffrage RTE de 1 Md€ à investir en réponse aux 19 GW d’ENR qui étaient prévus à l’horizon 2020). Ces coûts sont convertis en annuité (ce qui revient à diviser par dix) puis rapporté à l’énergie produite par kW installé dans chaque filière.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652"/>
    <w:multiLevelType w:val="hybridMultilevel"/>
    <w:tmpl w:val="3492359E"/>
    <w:lvl w:ilvl="0" w:tplc="4A40D61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471F5"/>
    <w:multiLevelType w:val="hybridMultilevel"/>
    <w:tmpl w:val="32986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F31142"/>
    <w:multiLevelType w:val="hybridMultilevel"/>
    <w:tmpl w:val="70D2956E"/>
    <w:lvl w:ilvl="0" w:tplc="040C000F">
      <w:start w:val="1"/>
      <w:numFmt w:val="decimal"/>
      <w:lvlText w:val="%1."/>
      <w:lvlJc w:val="left"/>
      <w:pPr>
        <w:ind w:left="720" w:hanging="360"/>
      </w:pPr>
      <w:rPr>
        <w:rFonts w:hint="default"/>
      </w:rPr>
    </w:lvl>
    <w:lvl w:ilvl="1" w:tplc="074C6754">
      <w:start w:val="1"/>
      <w:numFmt w:val="bullet"/>
      <w:lvlText w:val=""/>
      <w:lvlJc w:val="left"/>
      <w:pPr>
        <w:ind w:left="1440" w:hanging="360"/>
      </w:pPr>
      <w:rPr>
        <w:rFonts w:ascii="Wingdings 3" w:hAnsi="Wingdings 3"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471D15"/>
    <w:multiLevelType w:val="hybridMultilevel"/>
    <w:tmpl w:val="F8265356"/>
    <w:lvl w:ilvl="0" w:tplc="02E2FA38">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D74CDB"/>
    <w:multiLevelType w:val="hybridMultilevel"/>
    <w:tmpl w:val="4D6C7BC2"/>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nsid w:val="11837F69"/>
    <w:multiLevelType w:val="hybridMultilevel"/>
    <w:tmpl w:val="29BA0982"/>
    <w:lvl w:ilvl="0" w:tplc="0002C21C">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4C1D88"/>
    <w:multiLevelType w:val="hybridMultilevel"/>
    <w:tmpl w:val="A96C18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8E6FFC"/>
    <w:multiLevelType w:val="hybridMultilevel"/>
    <w:tmpl w:val="DD6E410C"/>
    <w:lvl w:ilvl="0" w:tplc="05C00868">
      <w:numFmt w:val="bullet"/>
      <w:lvlText w:val="-"/>
      <w:lvlJc w:val="left"/>
      <w:pPr>
        <w:ind w:left="720" w:hanging="360"/>
      </w:pPr>
      <w:rPr>
        <w:rFonts w:ascii="Calibri" w:eastAsiaTheme="minorHAnsi" w:hAnsi="Calibri" w:cstheme="minorBidi" w:hint="default"/>
      </w:rPr>
    </w:lvl>
    <w:lvl w:ilvl="1" w:tplc="040C001B">
      <w:start w:val="1"/>
      <w:numFmt w:val="lowerRoman"/>
      <w:lvlText w:val="%2."/>
      <w:lvlJc w:val="righ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0619FF"/>
    <w:multiLevelType w:val="hybridMultilevel"/>
    <w:tmpl w:val="FB102994"/>
    <w:lvl w:ilvl="0" w:tplc="39D639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7B2610"/>
    <w:multiLevelType w:val="hybridMultilevel"/>
    <w:tmpl w:val="E774EF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A32961"/>
    <w:multiLevelType w:val="hybridMultilevel"/>
    <w:tmpl w:val="4EDA6AE6"/>
    <w:lvl w:ilvl="0" w:tplc="05C00868">
      <w:numFmt w:val="bullet"/>
      <w:lvlText w:val="-"/>
      <w:lvlJc w:val="left"/>
      <w:pPr>
        <w:ind w:left="720" w:hanging="360"/>
      </w:pPr>
      <w:rPr>
        <w:rFonts w:ascii="Calibri" w:eastAsiaTheme="minorHAnsi" w:hAnsi="Calibri" w:cstheme="minorBidi"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0B615E"/>
    <w:multiLevelType w:val="hybridMultilevel"/>
    <w:tmpl w:val="35A0CB7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nsid w:val="2CF56663"/>
    <w:multiLevelType w:val="hybridMultilevel"/>
    <w:tmpl w:val="550071BE"/>
    <w:lvl w:ilvl="0" w:tplc="15CEBD70">
      <w:start w:val="1"/>
      <w:numFmt w:val="bullet"/>
      <w:lvlText w:val=""/>
      <w:lvlJc w:val="left"/>
      <w:pPr>
        <w:tabs>
          <w:tab w:val="num" w:pos="720"/>
        </w:tabs>
        <w:ind w:left="720" w:hanging="360"/>
      </w:pPr>
      <w:rPr>
        <w:rFonts w:ascii="Wingdings" w:hAnsi="Wingdings" w:hint="default"/>
      </w:rPr>
    </w:lvl>
    <w:lvl w:ilvl="1" w:tplc="EA706CCE">
      <w:start w:val="1"/>
      <w:numFmt w:val="bullet"/>
      <w:lvlText w:val=""/>
      <w:lvlJc w:val="left"/>
      <w:pPr>
        <w:tabs>
          <w:tab w:val="num" w:pos="1440"/>
        </w:tabs>
        <w:ind w:left="1440" w:hanging="360"/>
      </w:pPr>
      <w:rPr>
        <w:rFonts w:ascii="Wingdings" w:hAnsi="Wingdings" w:hint="default"/>
      </w:rPr>
    </w:lvl>
    <w:lvl w:ilvl="2" w:tplc="7E587748" w:tentative="1">
      <w:start w:val="1"/>
      <w:numFmt w:val="bullet"/>
      <w:lvlText w:val=""/>
      <w:lvlJc w:val="left"/>
      <w:pPr>
        <w:tabs>
          <w:tab w:val="num" w:pos="2160"/>
        </w:tabs>
        <w:ind w:left="2160" w:hanging="360"/>
      </w:pPr>
      <w:rPr>
        <w:rFonts w:ascii="Wingdings" w:hAnsi="Wingdings" w:hint="default"/>
      </w:rPr>
    </w:lvl>
    <w:lvl w:ilvl="3" w:tplc="8312C9B4" w:tentative="1">
      <w:start w:val="1"/>
      <w:numFmt w:val="bullet"/>
      <w:lvlText w:val=""/>
      <w:lvlJc w:val="left"/>
      <w:pPr>
        <w:tabs>
          <w:tab w:val="num" w:pos="2880"/>
        </w:tabs>
        <w:ind w:left="2880" w:hanging="360"/>
      </w:pPr>
      <w:rPr>
        <w:rFonts w:ascii="Wingdings" w:hAnsi="Wingdings" w:hint="default"/>
      </w:rPr>
    </w:lvl>
    <w:lvl w:ilvl="4" w:tplc="758845B4" w:tentative="1">
      <w:start w:val="1"/>
      <w:numFmt w:val="bullet"/>
      <w:lvlText w:val=""/>
      <w:lvlJc w:val="left"/>
      <w:pPr>
        <w:tabs>
          <w:tab w:val="num" w:pos="3600"/>
        </w:tabs>
        <w:ind w:left="3600" w:hanging="360"/>
      </w:pPr>
      <w:rPr>
        <w:rFonts w:ascii="Wingdings" w:hAnsi="Wingdings" w:hint="default"/>
      </w:rPr>
    </w:lvl>
    <w:lvl w:ilvl="5" w:tplc="750CDD6A" w:tentative="1">
      <w:start w:val="1"/>
      <w:numFmt w:val="bullet"/>
      <w:lvlText w:val=""/>
      <w:lvlJc w:val="left"/>
      <w:pPr>
        <w:tabs>
          <w:tab w:val="num" w:pos="4320"/>
        </w:tabs>
        <w:ind w:left="4320" w:hanging="360"/>
      </w:pPr>
      <w:rPr>
        <w:rFonts w:ascii="Wingdings" w:hAnsi="Wingdings" w:hint="default"/>
      </w:rPr>
    </w:lvl>
    <w:lvl w:ilvl="6" w:tplc="D9F4F588" w:tentative="1">
      <w:start w:val="1"/>
      <w:numFmt w:val="bullet"/>
      <w:lvlText w:val=""/>
      <w:lvlJc w:val="left"/>
      <w:pPr>
        <w:tabs>
          <w:tab w:val="num" w:pos="5040"/>
        </w:tabs>
        <w:ind w:left="5040" w:hanging="360"/>
      </w:pPr>
      <w:rPr>
        <w:rFonts w:ascii="Wingdings" w:hAnsi="Wingdings" w:hint="default"/>
      </w:rPr>
    </w:lvl>
    <w:lvl w:ilvl="7" w:tplc="274E3A9C" w:tentative="1">
      <w:start w:val="1"/>
      <w:numFmt w:val="bullet"/>
      <w:lvlText w:val=""/>
      <w:lvlJc w:val="left"/>
      <w:pPr>
        <w:tabs>
          <w:tab w:val="num" w:pos="5760"/>
        </w:tabs>
        <w:ind w:left="5760" w:hanging="360"/>
      </w:pPr>
      <w:rPr>
        <w:rFonts w:ascii="Wingdings" w:hAnsi="Wingdings" w:hint="default"/>
      </w:rPr>
    </w:lvl>
    <w:lvl w:ilvl="8" w:tplc="CAE06AB6" w:tentative="1">
      <w:start w:val="1"/>
      <w:numFmt w:val="bullet"/>
      <w:lvlText w:val=""/>
      <w:lvlJc w:val="left"/>
      <w:pPr>
        <w:tabs>
          <w:tab w:val="num" w:pos="6480"/>
        </w:tabs>
        <w:ind w:left="6480" w:hanging="360"/>
      </w:pPr>
      <w:rPr>
        <w:rFonts w:ascii="Wingdings" w:hAnsi="Wingdings" w:hint="default"/>
      </w:rPr>
    </w:lvl>
  </w:abstractNum>
  <w:abstractNum w:abstractNumId="13">
    <w:nsid w:val="2DE14C8C"/>
    <w:multiLevelType w:val="hybridMultilevel"/>
    <w:tmpl w:val="9E5CC370"/>
    <w:lvl w:ilvl="0" w:tplc="18527560">
      <w:start w:val="1"/>
      <w:numFmt w:val="bullet"/>
      <w:lvlText w:val=""/>
      <w:lvlJc w:val="left"/>
      <w:pPr>
        <w:tabs>
          <w:tab w:val="num" w:pos="720"/>
        </w:tabs>
        <w:ind w:left="720" w:hanging="360"/>
      </w:pPr>
      <w:rPr>
        <w:rFonts w:ascii="Wingdings" w:hAnsi="Wingdings" w:hint="default"/>
      </w:rPr>
    </w:lvl>
    <w:lvl w:ilvl="1" w:tplc="4C1E7968">
      <w:start w:val="1"/>
      <w:numFmt w:val="bullet"/>
      <w:lvlText w:val=""/>
      <w:lvlJc w:val="left"/>
      <w:pPr>
        <w:tabs>
          <w:tab w:val="num" w:pos="1440"/>
        </w:tabs>
        <w:ind w:left="1440" w:hanging="360"/>
      </w:pPr>
      <w:rPr>
        <w:rFonts w:ascii="Wingdings" w:hAnsi="Wingdings" w:hint="default"/>
      </w:rPr>
    </w:lvl>
    <w:lvl w:ilvl="2" w:tplc="0ED2E210" w:tentative="1">
      <w:start w:val="1"/>
      <w:numFmt w:val="bullet"/>
      <w:lvlText w:val=""/>
      <w:lvlJc w:val="left"/>
      <w:pPr>
        <w:tabs>
          <w:tab w:val="num" w:pos="2160"/>
        </w:tabs>
        <w:ind w:left="2160" w:hanging="360"/>
      </w:pPr>
      <w:rPr>
        <w:rFonts w:ascii="Wingdings" w:hAnsi="Wingdings" w:hint="default"/>
      </w:rPr>
    </w:lvl>
    <w:lvl w:ilvl="3" w:tplc="FC2E32F6" w:tentative="1">
      <w:start w:val="1"/>
      <w:numFmt w:val="bullet"/>
      <w:lvlText w:val=""/>
      <w:lvlJc w:val="left"/>
      <w:pPr>
        <w:tabs>
          <w:tab w:val="num" w:pos="2880"/>
        </w:tabs>
        <w:ind w:left="2880" w:hanging="360"/>
      </w:pPr>
      <w:rPr>
        <w:rFonts w:ascii="Wingdings" w:hAnsi="Wingdings" w:hint="default"/>
      </w:rPr>
    </w:lvl>
    <w:lvl w:ilvl="4" w:tplc="9282FA3E" w:tentative="1">
      <w:start w:val="1"/>
      <w:numFmt w:val="bullet"/>
      <w:lvlText w:val=""/>
      <w:lvlJc w:val="left"/>
      <w:pPr>
        <w:tabs>
          <w:tab w:val="num" w:pos="3600"/>
        </w:tabs>
        <w:ind w:left="3600" w:hanging="360"/>
      </w:pPr>
      <w:rPr>
        <w:rFonts w:ascii="Wingdings" w:hAnsi="Wingdings" w:hint="default"/>
      </w:rPr>
    </w:lvl>
    <w:lvl w:ilvl="5" w:tplc="9E74652C" w:tentative="1">
      <w:start w:val="1"/>
      <w:numFmt w:val="bullet"/>
      <w:lvlText w:val=""/>
      <w:lvlJc w:val="left"/>
      <w:pPr>
        <w:tabs>
          <w:tab w:val="num" w:pos="4320"/>
        </w:tabs>
        <w:ind w:left="4320" w:hanging="360"/>
      </w:pPr>
      <w:rPr>
        <w:rFonts w:ascii="Wingdings" w:hAnsi="Wingdings" w:hint="default"/>
      </w:rPr>
    </w:lvl>
    <w:lvl w:ilvl="6" w:tplc="BB785B78" w:tentative="1">
      <w:start w:val="1"/>
      <w:numFmt w:val="bullet"/>
      <w:lvlText w:val=""/>
      <w:lvlJc w:val="left"/>
      <w:pPr>
        <w:tabs>
          <w:tab w:val="num" w:pos="5040"/>
        </w:tabs>
        <w:ind w:left="5040" w:hanging="360"/>
      </w:pPr>
      <w:rPr>
        <w:rFonts w:ascii="Wingdings" w:hAnsi="Wingdings" w:hint="default"/>
      </w:rPr>
    </w:lvl>
    <w:lvl w:ilvl="7" w:tplc="9C96B380" w:tentative="1">
      <w:start w:val="1"/>
      <w:numFmt w:val="bullet"/>
      <w:lvlText w:val=""/>
      <w:lvlJc w:val="left"/>
      <w:pPr>
        <w:tabs>
          <w:tab w:val="num" w:pos="5760"/>
        </w:tabs>
        <w:ind w:left="5760" w:hanging="360"/>
      </w:pPr>
      <w:rPr>
        <w:rFonts w:ascii="Wingdings" w:hAnsi="Wingdings" w:hint="default"/>
      </w:rPr>
    </w:lvl>
    <w:lvl w:ilvl="8" w:tplc="D526AA12" w:tentative="1">
      <w:start w:val="1"/>
      <w:numFmt w:val="bullet"/>
      <w:lvlText w:val=""/>
      <w:lvlJc w:val="left"/>
      <w:pPr>
        <w:tabs>
          <w:tab w:val="num" w:pos="6480"/>
        </w:tabs>
        <w:ind w:left="6480" w:hanging="360"/>
      </w:pPr>
      <w:rPr>
        <w:rFonts w:ascii="Wingdings" w:hAnsi="Wingdings" w:hint="default"/>
      </w:rPr>
    </w:lvl>
  </w:abstractNum>
  <w:abstractNum w:abstractNumId="14">
    <w:nsid w:val="31954C62"/>
    <w:multiLevelType w:val="hybridMultilevel"/>
    <w:tmpl w:val="C3481454"/>
    <w:lvl w:ilvl="0" w:tplc="6EFE9C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A01B6F"/>
    <w:multiLevelType w:val="hybridMultilevel"/>
    <w:tmpl w:val="ADF63216"/>
    <w:lvl w:ilvl="0" w:tplc="9A16C7E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D17DC6"/>
    <w:multiLevelType w:val="hybridMultilevel"/>
    <w:tmpl w:val="BE3EE1C2"/>
    <w:lvl w:ilvl="0" w:tplc="07720836">
      <w:start w:val="1"/>
      <w:numFmt w:val="bullet"/>
      <w:lvlText w:val="-"/>
      <w:lvlJc w:val="left"/>
      <w:pPr>
        <w:ind w:left="720" w:hanging="360"/>
      </w:pPr>
      <w:rPr>
        <w:rFonts w:ascii="Calibri" w:hAnsi="Calibri"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491D93"/>
    <w:multiLevelType w:val="hybridMultilevel"/>
    <w:tmpl w:val="A6DE0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F2A0257"/>
    <w:multiLevelType w:val="hybridMultilevel"/>
    <w:tmpl w:val="BFB2B4C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9">
    <w:nsid w:val="418678A7"/>
    <w:multiLevelType w:val="hybridMultilevel"/>
    <w:tmpl w:val="22F6B442"/>
    <w:lvl w:ilvl="0" w:tplc="9A345BD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96F6FEA"/>
    <w:multiLevelType w:val="hybridMultilevel"/>
    <w:tmpl w:val="85407812"/>
    <w:lvl w:ilvl="0" w:tplc="6EFE9C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AAD05B7"/>
    <w:multiLevelType w:val="hybridMultilevel"/>
    <w:tmpl w:val="EFE24728"/>
    <w:lvl w:ilvl="0" w:tplc="05C0086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E07C59"/>
    <w:multiLevelType w:val="hybridMultilevel"/>
    <w:tmpl w:val="5D2A77F8"/>
    <w:lvl w:ilvl="0" w:tplc="E23CB99C">
      <w:start w:val="1"/>
      <w:numFmt w:val="bullet"/>
      <w:lvlText w:val=""/>
      <w:lvlJc w:val="left"/>
      <w:pPr>
        <w:tabs>
          <w:tab w:val="num" w:pos="720"/>
        </w:tabs>
        <w:ind w:left="720" w:hanging="360"/>
      </w:pPr>
      <w:rPr>
        <w:rFonts w:ascii="Wingdings" w:hAnsi="Wingdings" w:hint="default"/>
      </w:rPr>
    </w:lvl>
    <w:lvl w:ilvl="1" w:tplc="1F58F0DA">
      <w:start w:val="1"/>
      <w:numFmt w:val="bullet"/>
      <w:lvlText w:val=""/>
      <w:lvlJc w:val="left"/>
      <w:pPr>
        <w:tabs>
          <w:tab w:val="num" w:pos="1440"/>
        </w:tabs>
        <w:ind w:left="1440" w:hanging="360"/>
      </w:pPr>
      <w:rPr>
        <w:rFonts w:ascii="Wingdings" w:hAnsi="Wingdings" w:hint="default"/>
      </w:rPr>
    </w:lvl>
    <w:lvl w:ilvl="2" w:tplc="6004FDF4">
      <w:start w:val="540"/>
      <w:numFmt w:val="bullet"/>
      <w:lvlText w:val=""/>
      <w:lvlJc w:val="left"/>
      <w:pPr>
        <w:tabs>
          <w:tab w:val="num" w:pos="2160"/>
        </w:tabs>
        <w:ind w:left="2160" w:hanging="360"/>
      </w:pPr>
      <w:rPr>
        <w:rFonts w:ascii="Wingdings" w:hAnsi="Wingdings" w:hint="default"/>
      </w:rPr>
    </w:lvl>
    <w:lvl w:ilvl="3" w:tplc="2090B434" w:tentative="1">
      <w:start w:val="1"/>
      <w:numFmt w:val="bullet"/>
      <w:lvlText w:val=""/>
      <w:lvlJc w:val="left"/>
      <w:pPr>
        <w:tabs>
          <w:tab w:val="num" w:pos="2880"/>
        </w:tabs>
        <w:ind w:left="2880" w:hanging="360"/>
      </w:pPr>
      <w:rPr>
        <w:rFonts w:ascii="Wingdings" w:hAnsi="Wingdings" w:hint="default"/>
      </w:rPr>
    </w:lvl>
    <w:lvl w:ilvl="4" w:tplc="9CF4D8A0" w:tentative="1">
      <w:start w:val="1"/>
      <w:numFmt w:val="bullet"/>
      <w:lvlText w:val=""/>
      <w:lvlJc w:val="left"/>
      <w:pPr>
        <w:tabs>
          <w:tab w:val="num" w:pos="3600"/>
        </w:tabs>
        <w:ind w:left="3600" w:hanging="360"/>
      </w:pPr>
      <w:rPr>
        <w:rFonts w:ascii="Wingdings" w:hAnsi="Wingdings" w:hint="default"/>
      </w:rPr>
    </w:lvl>
    <w:lvl w:ilvl="5" w:tplc="2626F536" w:tentative="1">
      <w:start w:val="1"/>
      <w:numFmt w:val="bullet"/>
      <w:lvlText w:val=""/>
      <w:lvlJc w:val="left"/>
      <w:pPr>
        <w:tabs>
          <w:tab w:val="num" w:pos="4320"/>
        </w:tabs>
        <w:ind w:left="4320" w:hanging="360"/>
      </w:pPr>
      <w:rPr>
        <w:rFonts w:ascii="Wingdings" w:hAnsi="Wingdings" w:hint="default"/>
      </w:rPr>
    </w:lvl>
    <w:lvl w:ilvl="6" w:tplc="993AB19E" w:tentative="1">
      <w:start w:val="1"/>
      <w:numFmt w:val="bullet"/>
      <w:lvlText w:val=""/>
      <w:lvlJc w:val="left"/>
      <w:pPr>
        <w:tabs>
          <w:tab w:val="num" w:pos="5040"/>
        </w:tabs>
        <w:ind w:left="5040" w:hanging="360"/>
      </w:pPr>
      <w:rPr>
        <w:rFonts w:ascii="Wingdings" w:hAnsi="Wingdings" w:hint="default"/>
      </w:rPr>
    </w:lvl>
    <w:lvl w:ilvl="7" w:tplc="67A47500" w:tentative="1">
      <w:start w:val="1"/>
      <w:numFmt w:val="bullet"/>
      <w:lvlText w:val=""/>
      <w:lvlJc w:val="left"/>
      <w:pPr>
        <w:tabs>
          <w:tab w:val="num" w:pos="5760"/>
        </w:tabs>
        <w:ind w:left="5760" w:hanging="360"/>
      </w:pPr>
      <w:rPr>
        <w:rFonts w:ascii="Wingdings" w:hAnsi="Wingdings" w:hint="default"/>
      </w:rPr>
    </w:lvl>
    <w:lvl w:ilvl="8" w:tplc="EE06DF98" w:tentative="1">
      <w:start w:val="1"/>
      <w:numFmt w:val="bullet"/>
      <w:lvlText w:val=""/>
      <w:lvlJc w:val="left"/>
      <w:pPr>
        <w:tabs>
          <w:tab w:val="num" w:pos="6480"/>
        </w:tabs>
        <w:ind w:left="6480" w:hanging="360"/>
      </w:pPr>
      <w:rPr>
        <w:rFonts w:ascii="Wingdings" w:hAnsi="Wingdings" w:hint="default"/>
      </w:rPr>
    </w:lvl>
  </w:abstractNum>
  <w:abstractNum w:abstractNumId="23">
    <w:nsid w:val="4F8B5E2D"/>
    <w:multiLevelType w:val="hybridMultilevel"/>
    <w:tmpl w:val="5B901212"/>
    <w:lvl w:ilvl="0" w:tplc="19EE0C7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1BF518E"/>
    <w:multiLevelType w:val="hybridMultilevel"/>
    <w:tmpl w:val="989E7A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2C34C32"/>
    <w:multiLevelType w:val="hybridMultilevel"/>
    <w:tmpl w:val="AC9EC952"/>
    <w:lvl w:ilvl="0" w:tplc="8EAE566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54B7171"/>
    <w:multiLevelType w:val="hybridMultilevel"/>
    <w:tmpl w:val="3976BA78"/>
    <w:lvl w:ilvl="0" w:tplc="736EDEAE">
      <w:numFmt w:val="bullet"/>
      <w:lvlText w:val="-"/>
      <w:lvlJc w:val="left"/>
      <w:pPr>
        <w:ind w:left="720" w:hanging="360"/>
      </w:pPr>
      <w:rPr>
        <w:rFonts w:ascii="Calibri" w:eastAsiaTheme="minorHAnsi" w:hAnsi="Calibri" w:cstheme="minorBid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504E25"/>
    <w:multiLevelType w:val="hybridMultilevel"/>
    <w:tmpl w:val="00CA82BC"/>
    <w:lvl w:ilvl="0" w:tplc="9C54E7D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7517F67"/>
    <w:multiLevelType w:val="hybridMultilevel"/>
    <w:tmpl w:val="C64AB85C"/>
    <w:lvl w:ilvl="0" w:tplc="2F10DE88">
      <w:start w:val="1"/>
      <w:numFmt w:val="bullet"/>
      <w:lvlText w:val=""/>
      <w:lvlJc w:val="left"/>
      <w:pPr>
        <w:tabs>
          <w:tab w:val="num" w:pos="720"/>
        </w:tabs>
        <w:ind w:left="720" w:hanging="360"/>
      </w:pPr>
      <w:rPr>
        <w:rFonts w:ascii="Wingdings" w:hAnsi="Wingdings" w:hint="default"/>
      </w:rPr>
    </w:lvl>
    <w:lvl w:ilvl="1" w:tplc="94E4816A">
      <w:start w:val="1"/>
      <w:numFmt w:val="bullet"/>
      <w:lvlText w:val=""/>
      <w:lvlJc w:val="left"/>
      <w:pPr>
        <w:tabs>
          <w:tab w:val="num" w:pos="1440"/>
        </w:tabs>
        <w:ind w:left="1440" w:hanging="360"/>
      </w:pPr>
      <w:rPr>
        <w:rFonts w:ascii="Wingdings" w:hAnsi="Wingdings" w:hint="default"/>
      </w:rPr>
    </w:lvl>
    <w:lvl w:ilvl="2" w:tplc="6108E844" w:tentative="1">
      <w:start w:val="1"/>
      <w:numFmt w:val="bullet"/>
      <w:lvlText w:val=""/>
      <w:lvlJc w:val="left"/>
      <w:pPr>
        <w:tabs>
          <w:tab w:val="num" w:pos="2160"/>
        </w:tabs>
        <w:ind w:left="2160" w:hanging="360"/>
      </w:pPr>
      <w:rPr>
        <w:rFonts w:ascii="Wingdings" w:hAnsi="Wingdings" w:hint="default"/>
      </w:rPr>
    </w:lvl>
    <w:lvl w:ilvl="3" w:tplc="136EE0A0" w:tentative="1">
      <w:start w:val="1"/>
      <w:numFmt w:val="bullet"/>
      <w:lvlText w:val=""/>
      <w:lvlJc w:val="left"/>
      <w:pPr>
        <w:tabs>
          <w:tab w:val="num" w:pos="2880"/>
        </w:tabs>
        <w:ind w:left="2880" w:hanging="360"/>
      </w:pPr>
      <w:rPr>
        <w:rFonts w:ascii="Wingdings" w:hAnsi="Wingdings" w:hint="default"/>
      </w:rPr>
    </w:lvl>
    <w:lvl w:ilvl="4" w:tplc="07C6848A" w:tentative="1">
      <w:start w:val="1"/>
      <w:numFmt w:val="bullet"/>
      <w:lvlText w:val=""/>
      <w:lvlJc w:val="left"/>
      <w:pPr>
        <w:tabs>
          <w:tab w:val="num" w:pos="3600"/>
        </w:tabs>
        <w:ind w:left="3600" w:hanging="360"/>
      </w:pPr>
      <w:rPr>
        <w:rFonts w:ascii="Wingdings" w:hAnsi="Wingdings" w:hint="default"/>
      </w:rPr>
    </w:lvl>
    <w:lvl w:ilvl="5" w:tplc="2732F78E" w:tentative="1">
      <w:start w:val="1"/>
      <w:numFmt w:val="bullet"/>
      <w:lvlText w:val=""/>
      <w:lvlJc w:val="left"/>
      <w:pPr>
        <w:tabs>
          <w:tab w:val="num" w:pos="4320"/>
        </w:tabs>
        <w:ind w:left="4320" w:hanging="360"/>
      </w:pPr>
      <w:rPr>
        <w:rFonts w:ascii="Wingdings" w:hAnsi="Wingdings" w:hint="default"/>
      </w:rPr>
    </w:lvl>
    <w:lvl w:ilvl="6" w:tplc="89C02DC6" w:tentative="1">
      <w:start w:val="1"/>
      <w:numFmt w:val="bullet"/>
      <w:lvlText w:val=""/>
      <w:lvlJc w:val="left"/>
      <w:pPr>
        <w:tabs>
          <w:tab w:val="num" w:pos="5040"/>
        </w:tabs>
        <w:ind w:left="5040" w:hanging="360"/>
      </w:pPr>
      <w:rPr>
        <w:rFonts w:ascii="Wingdings" w:hAnsi="Wingdings" w:hint="default"/>
      </w:rPr>
    </w:lvl>
    <w:lvl w:ilvl="7" w:tplc="69D6CB72" w:tentative="1">
      <w:start w:val="1"/>
      <w:numFmt w:val="bullet"/>
      <w:lvlText w:val=""/>
      <w:lvlJc w:val="left"/>
      <w:pPr>
        <w:tabs>
          <w:tab w:val="num" w:pos="5760"/>
        </w:tabs>
        <w:ind w:left="5760" w:hanging="360"/>
      </w:pPr>
      <w:rPr>
        <w:rFonts w:ascii="Wingdings" w:hAnsi="Wingdings" w:hint="default"/>
      </w:rPr>
    </w:lvl>
    <w:lvl w:ilvl="8" w:tplc="64685A72" w:tentative="1">
      <w:start w:val="1"/>
      <w:numFmt w:val="bullet"/>
      <w:lvlText w:val=""/>
      <w:lvlJc w:val="left"/>
      <w:pPr>
        <w:tabs>
          <w:tab w:val="num" w:pos="6480"/>
        </w:tabs>
        <w:ind w:left="6480" w:hanging="360"/>
      </w:pPr>
      <w:rPr>
        <w:rFonts w:ascii="Wingdings" w:hAnsi="Wingdings" w:hint="default"/>
      </w:rPr>
    </w:lvl>
  </w:abstractNum>
  <w:abstractNum w:abstractNumId="29">
    <w:nsid w:val="58AC1023"/>
    <w:multiLevelType w:val="hybridMultilevel"/>
    <w:tmpl w:val="2390D84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A931229"/>
    <w:multiLevelType w:val="hybridMultilevel"/>
    <w:tmpl w:val="E780A9D8"/>
    <w:lvl w:ilvl="0" w:tplc="F29A97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AB236BA"/>
    <w:multiLevelType w:val="hybridMultilevel"/>
    <w:tmpl w:val="94B2E1CC"/>
    <w:lvl w:ilvl="0" w:tplc="4372F74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03055B2"/>
    <w:multiLevelType w:val="hybridMultilevel"/>
    <w:tmpl w:val="C4A81D16"/>
    <w:lvl w:ilvl="0" w:tplc="4622D8C2">
      <w:start w:val="1"/>
      <w:numFmt w:val="bullet"/>
      <w:lvlText w:val="•"/>
      <w:lvlJc w:val="left"/>
      <w:pPr>
        <w:tabs>
          <w:tab w:val="num" w:pos="720"/>
        </w:tabs>
        <w:ind w:left="720" w:hanging="360"/>
      </w:pPr>
      <w:rPr>
        <w:rFonts w:ascii="Arial" w:hAnsi="Arial" w:hint="default"/>
      </w:rPr>
    </w:lvl>
    <w:lvl w:ilvl="1" w:tplc="20D04802">
      <w:start w:val="1"/>
      <w:numFmt w:val="bullet"/>
      <w:lvlText w:val="•"/>
      <w:lvlJc w:val="left"/>
      <w:pPr>
        <w:tabs>
          <w:tab w:val="num" w:pos="1440"/>
        </w:tabs>
        <w:ind w:left="1440" w:hanging="360"/>
      </w:pPr>
      <w:rPr>
        <w:rFonts w:ascii="Arial" w:hAnsi="Arial" w:hint="default"/>
      </w:rPr>
    </w:lvl>
    <w:lvl w:ilvl="2" w:tplc="D87A5454" w:tentative="1">
      <w:start w:val="1"/>
      <w:numFmt w:val="bullet"/>
      <w:lvlText w:val="•"/>
      <w:lvlJc w:val="left"/>
      <w:pPr>
        <w:tabs>
          <w:tab w:val="num" w:pos="2160"/>
        </w:tabs>
        <w:ind w:left="2160" w:hanging="360"/>
      </w:pPr>
      <w:rPr>
        <w:rFonts w:ascii="Arial" w:hAnsi="Arial" w:hint="default"/>
      </w:rPr>
    </w:lvl>
    <w:lvl w:ilvl="3" w:tplc="814E277C" w:tentative="1">
      <w:start w:val="1"/>
      <w:numFmt w:val="bullet"/>
      <w:lvlText w:val="•"/>
      <w:lvlJc w:val="left"/>
      <w:pPr>
        <w:tabs>
          <w:tab w:val="num" w:pos="2880"/>
        </w:tabs>
        <w:ind w:left="2880" w:hanging="360"/>
      </w:pPr>
      <w:rPr>
        <w:rFonts w:ascii="Arial" w:hAnsi="Arial" w:hint="default"/>
      </w:rPr>
    </w:lvl>
    <w:lvl w:ilvl="4" w:tplc="2C92465A" w:tentative="1">
      <w:start w:val="1"/>
      <w:numFmt w:val="bullet"/>
      <w:lvlText w:val="•"/>
      <w:lvlJc w:val="left"/>
      <w:pPr>
        <w:tabs>
          <w:tab w:val="num" w:pos="3600"/>
        </w:tabs>
        <w:ind w:left="3600" w:hanging="360"/>
      </w:pPr>
      <w:rPr>
        <w:rFonts w:ascii="Arial" w:hAnsi="Arial" w:hint="default"/>
      </w:rPr>
    </w:lvl>
    <w:lvl w:ilvl="5" w:tplc="54C44CAA" w:tentative="1">
      <w:start w:val="1"/>
      <w:numFmt w:val="bullet"/>
      <w:lvlText w:val="•"/>
      <w:lvlJc w:val="left"/>
      <w:pPr>
        <w:tabs>
          <w:tab w:val="num" w:pos="4320"/>
        </w:tabs>
        <w:ind w:left="4320" w:hanging="360"/>
      </w:pPr>
      <w:rPr>
        <w:rFonts w:ascii="Arial" w:hAnsi="Arial" w:hint="default"/>
      </w:rPr>
    </w:lvl>
    <w:lvl w:ilvl="6" w:tplc="6984798C" w:tentative="1">
      <w:start w:val="1"/>
      <w:numFmt w:val="bullet"/>
      <w:lvlText w:val="•"/>
      <w:lvlJc w:val="left"/>
      <w:pPr>
        <w:tabs>
          <w:tab w:val="num" w:pos="5040"/>
        </w:tabs>
        <w:ind w:left="5040" w:hanging="360"/>
      </w:pPr>
      <w:rPr>
        <w:rFonts w:ascii="Arial" w:hAnsi="Arial" w:hint="default"/>
      </w:rPr>
    </w:lvl>
    <w:lvl w:ilvl="7" w:tplc="627A8276" w:tentative="1">
      <w:start w:val="1"/>
      <w:numFmt w:val="bullet"/>
      <w:lvlText w:val="•"/>
      <w:lvlJc w:val="left"/>
      <w:pPr>
        <w:tabs>
          <w:tab w:val="num" w:pos="5760"/>
        </w:tabs>
        <w:ind w:left="5760" w:hanging="360"/>
      </w:pPr>
      <w:rPr>
        <w:rFonts w:ascii="Arial" w:hAnsi="Arial" w:hint="default"/>
      </w:rPr>
    </w:lvl>
    <w:lvl w:ilvl="8" w:tplc="8BBAC338" w:tentative="1">
      <w:start w:val="1"/>
      <w:numFmt w:val="bullet"/>
      <w:lvlText w:val="•"/>
      <w:lvlJc w:val="left"/>
      <w:pPr>
        <w:tabs>
          <w:tab w:val="num" w:pos="6480"/>
        </w:tabs>
        <w:ind w:left="6480" w:hanging="360"/>
      </w:pPr>
      <w:rPr>
        <w:rFonts w:ascii="Arial" w:hAnsi="Arial" w:hint="default"/>
      </w:rPr>
    </w:lvl>
  </w:abstractNum>
  <w:abstractNum w:abstractNumId="33">
    <w:nsid w:val="62384A53"/>
    <w:multiLevelType w:val="hybridMultilevel"/>
    <w:tmpl w:val="C85ADB32"/>
    <w:lvl w:ilvl="0" w:tplc="6C4E796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5F0729E"/>
    <w:multiLevelType w:val="hybridMultilevel"/>
    <w:tmpl w:val="137E39E0"/>
    <w:lvl w:ilvl="0" w:tplc="0D6081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7E57C91"/>
    <w:multiLevelType w:val="hybridMultilevel"/>
    <w:tmpl w:val="196CA40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6">
    <w:nsid w:val="70AD67C9"/>
    <w:multiLevelType w:val="hybridMultilevel"/>
    <w:tmpl w:val="BA70E32C"/>
    <w:lvl w:ilvl="0" w:tplc="7F76513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1BF7120"/>
    <w:multiLevelType w:val="hybridMultilevel"/>
    <w:tmpl w:val="D0642BE4"/>
    <w:lvl w:ilvl="0" w:tplc="46F803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25D256C"/>
    <w:multiLevelType w:val="hybridMultilevel"/>
    <w:tmpl w:val="9A8C9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608687F"/>
    <w:multiLevelType w:val="hybridMultilevel"/>
    <w:tmpl w:val="9FD65B4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AB41968"/>
    <w:multiLevelType w:val="hybridMultilevel"/>
    <w:tmpl w:val="E23A66F2"/>
    <w:lvl w:ilvl="0" w:tplc="D8D62B5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B3B5085"/>
    <w:multiLevelType w:val="hybridMultilevel"/>
    <w:tmpl w:val="66B002C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2">
    <w:nsid w:val="7F5D627B"/>
    <w:multiLevelType w:val="hybridMultilevel"/>
    <w:tmpl w:val="C54A654A"/>
    <w:lvl w:ilvl="0" w:tplc="12CC5DE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9"/>
  </w:num>
  <w:num w:numId="5">
    <w:abstractNumId w:val="5"/>
  </w:num>
  <w:num w:numId="6">
    <w:abstractNumId w:val="8"/>
  </w:num>
  <w:num w:numId="7">
    <w:abstractNumId w:val="27"/>
  </w:num>
  <w:num w:numId="8">
    <w:abstractNumId w:val="6"/>
  </w:num>
  <w:num w:numId="9">
    <w:abstractNumId w:val="38"/>
  </w:num>
  <w:num w:numId="10">
    <w:abstractNumId w:val="15"/>
  </w:num>
  <w:num w:numId="11">
    <w:abstractNumId w:val="19"/>
  </w:num>
  <w:num w:numId="12">
    <w:abstractNumId w:val="33"/>
  </w:num>
  <w:num w:numId="13">
    <w:abstractNumId w:val="37"/>
  </w:num>
  <w:num w:numId="14">
    <w:abstractNumId w:val="40"/>
  </w:num>
  <w:num w:numId="15">
    <w:abstractNumId w:val="21"/>
  </w:num>
  <w:num w:numId="16">
    <w:abstractNumId w:val="30"/>
  </w:num>
  <w:num w:numId="17">
    <w:abstractNumId w:val="10"/>
  </w:num>
  <w:num w:numId="18">
    <w:abstractNumId w:val="7"/>
  </w:num>
  <w:num w:numId="19">
    <w:abstractNumId w:val="24"/>
  </w:num>
  <w:num w:numId="20">
    <w:abstractNumId w:val="31"/>
  </w:num>
  <w:num w:numId="21">
    <w:abstractNumId w:val="2"/>
  </w:num>
  <w:num w:numId="22">
    <w:abstractNumId w:val="42"/>
  </w:num>
  <w:num w:numId="23">
    <w:abstractNumId w:val="22"/>
  </w:num>
  <w:num w:numId="24">
    <w:abstractNumId w:val="28"/>
  </w:num>
  <w:num w:numId="25">
    <w:abstractNumId w:val="13"/>
  </w:num>
  <w:num w:numId="26">
    <w:abstractNumId w:val="12"/>
  </w:num>
  <w:num w:numId="27">
    <w:abstractNumId w:val="16"/>
  </w:num>
  <w:num w:numId="28">
    <w:abstractNumId w:val="26"/>
  </w:num>
  <w:num w:numId="29">
    <w:abstractNumId w:val="23"/>
  </w:num>
  <w:num w:numId="30">
    <w:abstractNumId w:val="29"/>
  </w:num>
  <w:num w:numId="31">
    <w:abstractNumId w:val="41"/>
  </w:num>
  <w:num w:numId="32">
    <w:abstractNumId w:val="18"/>
  </w:num>
  <w:num w:numId="33">
    <w:abstractNumId w:val="4"/>
  </w:num>
  <w:num w:numId="34">
    <w:abstractNumId w:val="11"/>
  </w:num>
  <w:num w:numId="35">
    <w:abstractNumId w:val="39"/>
  </w:num>
  <w:num w:numId="36">
    <w:abstractNumId w:val="32"/>
  </w:num>
  <w:num w:numId="37">
    <w:abstractNumId w:val="34"/>
  </w:num>
  <w:num w:numId="38">
    <w:abstractNumId w:val="0"/>
  </w:num>
  <w:num w:numId="39">
    <w:abstractNumId w:val="25"/>
  </w:num>
  <w:num w:numId="40">
    <w:abstractNumId w:val="36"/>
  </w:num>
  <w:num w:numId="41">
    <w:abstractNumId w:val="3"/>
  </w:num>
  <w:num w:numId="42">
    <w:abstractNumId w:val="3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E6"/>
    <w:rsid w:val="00002F19"/>
    <w:rsid w:val="000061CA"/>
    <w:rsid w:val="000151F1"/>
    <w:rsid w:val="0002024F"/>
    <w:rsid w:val="000216AC"/>
    <w:rsid w:val="000279C7"/>
    <w:rsid w:val="0003439E"/>
    <w:rsid w:val="00042139"/>
    <w:rsid w:val="00043510"/>
    <w:rsid w:val="000464C6"/>
    <w:rsid w:val="0005000E"/>
    <w:rsid w:val="00050A59"/>
    <w:rsid w:val="00053BB6"/>
    <w:rsid w:val="00063CDF"/>
    <w:rsid w:val="000664BC"/>
    <w:rsid w:val="000676F8"/>
    <w:rsid w:val="00067B13"/>
    <w:rsid w:val="00067CEA"/>
    <w:rsid w:val="000733C4"/>
    <w:rsid w:val="00090E26"/>
    <w:rsid w:val="00092B19"/>
    <w:rsid w:val="00093BFD"/>
    <w:rsid w:val="000979E2"/>
    <w:rsid w:val="000A0A0F"/>
    <w:rsid w:val="000A3424"/>
    <w:rsid w:val="000A6C3B"/>
    <w:rsid w:val="000B43EB"/>
    <w:rsid w:val="000C213C"/>
    <w:rsid w:val="000C398C"/>
    <w:rsid w:val="000D44E2"/>
    <w:rsid w:val="000D6040"/>
    <w:rsid w:val="000E6D7A"/>
    <w:rsid w:val="000F1882"/>
    <w:rsid w:val="000F2E59"/>
    <w:rsid w:val="000F5D8C"/>
    <w:rsid w:val="001128CD"/>
    <w:rsid w:val="00126729"/>
    <w:rsid w:val="00126FE6"/>
    <w:rsid w:val="00131C59"/>
    <w:rsid w:val="00142006"/>
    <w:rsid w:val="00155A51"/>
    <w:rsid w:val="00166700"/>
    <w:rsid w:val="001713EB"/>
    <w:rsid w:val="00173AD3"/>
    <w:rsid w:val="001763DD"/>
    <w:rsid w:val="00182299"/>
    <w:rsid w:val="00184BED"/>
    <w:rsid w:val="0019453F"/>
    <w:rsid w:val="001C0382"/>
    <w:rsid w:val="001C41F6"/>
    <w:rsid w:val="001D2278"/>
    <w:rsid w:val="001E3A74"/>
    <w:rsid w:val="001E4792"/>
    <w:rsid w:val="001E53B8"/>
    <w:rsid w:val="001F32B5"/>
    <w:rsid w:val="001F69DA"/>
    <w:rsid w:val="00200AAB"/>
    <w:rsid w:val="00206A15"/>
    <w:rsid w:val="00207170"/>
    <w:rsid w:val="00211DC5"/>
    <w:rsid w:val="00211E31"/>
    <w:rsid w:val="00217CBA"/>
    <w:rsid w:val="00220774"/>
    <w:rsid w:val="00222FB1"/>
    <w:rsid w:val="0023327D"/>
    <w:rsid w:val="00240A0C"/>
    <w:rsid w:val="00245948"/>
    <w:rsid w:val="0028528D"/>
    <w:rsid w:val="00285F7E"/>
    <w:rsid w:val="002911CE"/>
    <w:rsid w:val="002A6B42"/>
    <w:rsid w:val="002B1BB8"/>
    <w:rsid w:val="002C6E6B"/>
    <w:rsid w:val="002C7E4F"/>
    <w:rsid w:val="002D27F2"/>
    <w:rsid w:val="002D6010"/>
    <w:rsid w:val="002E1A29"/>
    <w:rsid w:val="002E3348"/>
    <w:rsid w:val="002E41D0"/>
    <w:rsid w:val="002F0401"/>
    <w:rsid w:val="002F25BB"/>
    <w:rsid w:val="00300451"/>
    <w:rsid w:val="003006D9"/>
    <w:rsid w:val="003069F6"/>
    <w:rsid w:val="00313083"/>
    <w:rsid w:val="003176DA"/>
    <w:rsid w:val="00320869"/>
    <w:rsid w:val="00325947"/>
    <w:rsid w:val="00332524"/>
    <w:rsid w:val="003367F0"/>
    <w:rsid w:val="00337679"/>
    <w:rsid w:val="00351E04"/>
    <w:rsid w:val="003814A4"/>
    <w:rsid w:val="0039022E"/>
    <w:rsid w:val="003927EC"/>
    <w:rsid w:val="003A42E5"/>
    <w:rsid w:val="003A7716"/>
    <w:rsid w:val="003B2118"/>
    <w:rsid w:val="003B701F"/>
    <w:rsid w:val="003C294A"/>
    <w:rsid w:val="003D4EDF"/>
    <w:rsid w:val="003E6C75"/>
    <w:rsid w:val="003F45AD"/>
    <w:rsid w:val="00412494"/>
    <w:rsid w:val="0041537D"/>
    <w:rsid w:val="00417678"/>
    <w:rsid w:val="00424408"/>
    <w:rsid w:val="00432363"/>
    <w:rsid w:val="00451EF9"/>
    <w:rsid w:val="00452091"/>
    <w:rsid w:val="00456FAA"/>
    <w:rsid w:val="0046427C"/>
    <w:rsid w:val="00465C90"/>
    <w:rsid w:val="004854BD"/>
    <w:rsid w:val="004858BE"/>
    <w:rsid w:val="00493A61"/>
    <w:rsid w:val="004961E5"/>
    <w:rsid w:val="004972D9"/>
    <w:rsid w:val="00497A10"/>
    <w:rsid w:val="004A0571"/>
    <w:rsid w:val="004A7CE2"/>
    <w:rsid w:val="004B5177"/>
    <w:rsid w:val="004B7666"/>
    <w:rsid w:val="004C21E2"/>
    <w:rsid w:val="004D7819"/>
    <w:rsid w:val="004E4BCF"/>
    <w:rsid w:val="004E7953"/>
    <w:rsid w:val="004F0448"/>
    <w:rsid w:val="004F04CD"/>
    <w:rsid w:val="004F49DD"/>
    <w:rsid w:val="004F4B7B"/>
    <w:rsid w:val="005016F2"/>
    <w:rsid w:val="0050234F"/>
    <w:rsid w:val="005075BA"/>
    <w:rsid w:val="0051128E"/>
    <w:rsid w:val="005159FD"/>
    <w:rsid w:val="00515C53"/>
    <w:rsid w:val="0052041E"/>
    <w:rsid w:val="0052249A"/>
    <w:rsid w:val="00547CA0"/>
    <w:rsid w:val="00551117"/>
    <w:rsid w:val="005564B7"/>
    <w:rsid w:val="00557F74"/>
    <w:rsid w:val="00564254"/>
    <w:rsid w:val="0057494A"/>
    <w:rsid w:val="005866C3"/>
    <w:rsid w:val="00597C08"/>
    <w:rsid w:val="005A097E"/>
    <w:rsid w:val="005A552D"/>
    <w:rsid w:val="005B330B"/>
    <w:rsid w:val="005C4F04"/>
    <w:rsid w:val="005E057D"/>
    <w:rsid w:val="005F2604"/>
    <w:rsid w:val="00600DDA"/>
    <w:rsid w:val="006032BC"/>
    <w:rsid w:val="006049F3"/>
    <w:rsid w:val="0061100D"/>
    <w:rsid w:val="00614B58"/>
    <w:rsid w:val="00621F12"/>
    <w:rsid w:val="00626EED"/>
    <w:rsid w:val="006323B2"/>
    <w:rsid w:val="00632C80"/>
    <w:rsid w:val="00633B7D"/>
    <w:rsid w:val="00634CA8"/>
    <w:rsid w:val="00637166"/>
    <w:rsid w:val="00645E24"/>
    <w:rsid w:val="00652444"/>
    <w:rsid w:val="0066411B"/>
    <w:rsid w:val="00670E4E"/>
    <w:rsid w:val="00675A19"/>
    <w:rsid w:val="00675B19"/>
    <w:rsid w:val="0068014C"/>
    <w:rsid w:val="00680BB4"/>
    <w:rsid w:val="00687C49"/>
    <w:rsid w:val="006A3EDD"/>
    <w:rsid w:val="006A59D3"/>
    <w:rsid w:val="006A5C73"/>
    <w:rsid w:val="006A7860"/>
    <w:rsid w:val="006B3434"/>
    <w:rsid w:val="006C021E"/>
    <w:rsid w:val="006E5CAE"/>
    <w:rsid w:val="006F0299"/>
    <w:rsid w:val="006F7F54"/>
    <w:rsid w:val="00700692"/>
    <w:rsid w:val="00711BDB"/>
    <w:rsid w:val="007155E9"/>
    <w:rsid w:val="00717CBA"/>
    <w:rsid w:val="00726536"/>
    <w:rsid w:val="007370E7"/>
    <w:rsid w:val="00737CF4"/>
    <w:rsid w:val="00752D92"/>
    <w:rsid w:val="007560ED"/>
    <w:rsid w:val="00760032"/>
    <w:rsid w:val="00760C69"/>
    <w:rsid w:val="00762E74"/>
    <w:rsid w:val="00771211"/>
    <w:rsid w:val="00772753"/>
    <w:rsid w:val="00774445"/>
    <w:rsid w:val="007917BB"/>
    <w:rsid w:val="0079677F"/>
    <w:rsid w:val="0079738E"/>
    <w:rsid w:val="007A423F"/>
    <w:rsid w:val="007B3316"/>
    <w:rsid w:val="007B51A4"/>
    <w:rsid w:val="007B7C5B"/>
    <w:rsid w:val="007C0036"/>
    <w:rsid w:val="007C30B0"/>
    <w:rsid w:val="007C357C"/>
    <w:rsid w:val="007D0DA6"/>
    <w:rsid w:val="007E55FB"/>
    <w:rsid w:val="008016FC"/>
    <w:rsid w:val="00801FE7"/>
    <w:rsid w:val="00802506"/>
    <w:rsid w:val="00811AC2"/>
    <w:rsid w:val="00812C68"/>
    <w:rsid w:val="00815995"/>
    <w:rsid w:val="00820745"/>
    <w:rsid w:val="00822110"/>
    <w:rsid w:val="00823A7B"/>
    <w:rsid w:val="008268F1"/>
    <w:rsid w:val="00827F0E"/>
    <w:rsid w:val="008357C0"/>
    <w:rsid w:val="008448A7"/>
    <w:rsid w:val="008571D2"/>
    <w:rsid w:val="00882BE5"/>
    <w:rsid w:val="00892BA5"/>
    <w:rsid w:val="008946FF"/>
    <w:rsid w:val="008A3D8D"/>
    <w:rsid w:val="008A6390"/>
    <w:rsid w:val="008C3394"/>
    <w:rsid w:val="008C4A95"/>
    <w:rsid w:val="008D73E2"/>
    <w:rsid w:val="008F36D9"/>
    <w:rsid w:val="00900E2C"/>
    <w:rsid w:val="00901B45"/>
    <w:rsid w:val="00906FCD"/>
    <w:rsid w:val="00913F5B"/>
    <w:rsid w:val="0091653F"/>
    <w:rsid w:val="00917359"/>
    <w:rsid w:val="00922184"/>
    <w:rsid w:val="009223F8"/>
    <w:rsid w:val="0092361A"/>
    <w:rsid w:val="009274EA"/>
    <w:rsid w:val="00931687"/>
    <w:rsid w:val="00933501"/>
    <w:rsid w:val="00936D15"/>
    <w:rsid w:val="00937194"/>
    <w:rsid w:val="0094087F"/>
    <w:rsid w:val="0094145D"/>
    <w:rsid w:val="00942BD8"/>
    <w:rsid w:val="00953C4F"/>
    <w:rsid w:val="00954973"/>
    <w:rsid w:val="00955272"/>
    <w:rsid w:val="00956F18"/>
    <w:rsid w:val="009648A3"/>
    <w:rsid w:val="00974743"/>
    <w:rsid w:val="009748F4"/>
    <w:rsid w:val="009779FF"/>
    <w:rsid w:val="00982C4B"/>
    <w:rsid w:val="009948AB"/>
    <w:rsid w:val="009A3DC1"/>
    <w:rsid w:val="009A4448"/>
    <w:rsid w:val="009A73C7"/>
    <w:rsid w:val="009B5627"/>
    <w:rsid w:val="009B7246"/>
    <w:rsid w:val="009C05C4"/>
    <w:rsid w:val="009C2A14"/>
    <w:rsid w:val="009C67B9"/>
    <w:rsid w:val="009D61AF"/>
    <w:rsid w:val="009E1DAF"/>
    <w:rsid w:val="009E5C21"/>
    <w:rsid w:val="009E712D"/>
    <w:rsid w:val="00A01A5C"/>
    <w:rsid w:val="00A045C0"/>
    <w:rsid w:val="00A06675"/>
    <w:rsid w:val="00A11A93"/>
    <w:rsid w:val="00A1201F"/>
    <w:rsid w:val="00A127AF"/>
    <w:rsid w:val="00A30B53"/>
    <w:rsid w:val="00A3365D"/>
    <w:rsid w:val="00A33E9E"/>
    <w:rsid w:val="00A36814"/>
    <w:rsid w:val="00A4018A"/>
    <w:rsid w:val="00A42D21"/>
    <w:rsid w:val="00A44891"/>
    <w:rsid w:val="00A57429"/>
    <w:rsid w:val="00A618EE"/>
    <w:rsid w:val="00A66F16"/>
    <w:rsid w:val="00A76E06"/>
    <w:rsid w:val="00A773D0"/>
    <w:rsid w:val="00A77692"/>
    <w:rsid w:val="00A95D06"/>
    <w:rsid w:val="00A97FF9"/>
    <w:rsid w:val="00AA023A"/>
    <w:rsid w:val="00AA0C45"/>
    <w:rsid w:val="00AA1D17"/>
    <w:rsid w:val="00AB224E"/>
    <w:rsid w:val="00AB591F"/>
    <w:rsid w:val="00AC6CF5"/>
    <w:rsid w:val="00AE2CED"/>
    <w:rsid w:val="00AE5518"/>
    <w:rsid w:val="00AE78D4"/>
    <w:rsid w:val="00AF0CD6"/>
    <w:rsid w:val="00AF6DF2"/>
    <w:rsid w:val="00B063BA"/>
    <w:rsid w:val="00B07BCD"/>
    <w:rsid w:val="00B23D78"/>
    <w:rsid w:val="00B315A5"/>
    <w:rsid w:val="00B379AD"/>
    <w:rsid w:val="00B4510B"/>
    <w:rsid w:val="00B46AEB"/>
    <w:rsid w:val="00B472AD"/>
    <w:rsid w:val="00B56D29"/>
    <w:rsid w:val="00B638B1"/>
    <w:rsid w:val="00B64E98"/>
    <w:rsid w:val="00B73AF8"/>
    <w:rsid w:val="00B82BDE"/>
    <w:rsid w:val="00BA2DB8"/>
    <w:rsid w:val="00BA6615"/>
    <w:rsid w:val="00BA7FD0"/>
    <w:rsid w:val="00BB2B10"/>
    <w:rsid w:val="00BB3593"/>
    <w:rsid w:val="00BD122B"/>
    <w:rsid w:val="00BD29FA"/>
    <w:rsid w:val="00BD5434"/>
    <w:rsid w:val="00BD678D"/>
    <w:rsid w:val="00BD7C58"/>
    <w:rsid w:val="00BE7C82"/>
    <w:rsid w:val="00BF27E3"/>
    <w:rsid w:val="00BF3AD6"/>
    <w:rsid w:val="00C13B3F"/>
    <w:rsid w:val="00C21FC4"/>
    <w:rsid w:val="00C32597"/>
    <w:rsid w:val="00C44BA4"/>
    <w:rsid w:val="00C517C5"/>
    <w:rsid w:val="00C527B6"/>
    <w:rsid w:val="00C80779"/>
    <w:rsid w:val="00C878EC"/>
    <w:rsid w:val="00CB2761"/>
    <w:rsid w:val="00CB4176"/>
    <w:rsid w:val="00CB63E5"/>
    <w:rsid w:val="00CB640D"/>
    <w:rsid w:val="00CB6743"/>
    <w:rsid w:val="00CD0A9D"/>
    <w:rsid w:val="00CD47BE"/>
    <w:rsid w:val="00CE30DF"/>
    <w:rsid w:val="00CE4CA3"/>
    <w:rsid w:val="00CE5F33"/>
    <w:rsid w:val="00CF0629"/>
    <w:rsid w:val="00CF0972"/>
    <w:rsid w:val="00CF57CF"/>
    <w:rsid w:val="00CF702C"/>
    <w:rsid w:val="00D01B2D"/>
    <w:rsid w:val="00D17538"/>
    <w:rsid w:val="00D255C2"/>
    <w:rsid w:val="00D30AD8"/>
    <w:rsid w:val="00D313DF"/>
    <w:rsid w:val="00D3217E"/>
    <w:rsid w:val="00D542AA"/>
    <w:rsid w:val="00D664E9"/>
    <w:rsid w:val="00D70483"/>
    <w:rsid w:val="00D746BB"/>
    <w:rsid w:val="00D83812"/>
    <w:rsid w:val="00D96916"/>
    <w:rsid w:val="00DA4FC1"/>
    <w:rsid w:val="00DB1B7B"/>
    <w:rsid w:val="00DB4682"/>
    <w:rsid w:val="00DB754A"/>
    <w:rsid w:val="00DC27E3"/>
    <w:rsid w:val="00DC3524"/>
    <w:rsid w:val="00DD082C"/>
    <w:rsid w:val="00DE1812"/>
    <w:rsid w:val="00DF0832"/>
    <w:rsid w:val="00DF202B"/>
    <w:rsid w:val="00DF3E03"/>
    <w:rsid w:val="00E10EB7"/>
    <w:rsid w:val="00E12F00"/>
    <w:rsid w:val="00E154FD"/>
    <w:rsid w:val="00E16F57"/>
    <w:rsid w:val="00E247DA"/>
    <w:rsid w:val="00E33C54"/>
    <w:rsid w:val="00E34BE5"/>
    <w:rsid w:val="00E461A8"/>
    <w:rsid w:val="00E531D5"/>
    <w:rsid w:val="00E6387F"/>
    <w:rsid w:val="00E670DA"/>
    <w:rsid w:val="00E67DFC"/>
    <w:rsid w:val="00E730F5"/>
    <w:rsid w:val="00E75A25"/>
    <w:rsid w:val="00E8065F"/>
    <w:rsid w:val="00E81219"/>
    <w:rsid w:val="00E85F6C"/>
    <w:rsid w:val="00E8700F"/>
    <w:rsid w:val="00E901DD"/>
    <w:rsid w:val="00E90248"/>
    <w:rsid w:val="00E916B7"/>
    <w:rsid w:val="00E9517A"/>
    <w:rsid w:val="00E96D62"/>
    <w:rsid w:val="00EB0501"/>
    <w:rsid w:val="00EB2222"/>
    <w:rsid w:val="00EB79C4"/>
    <w:rsid w:val="00EC26F7"/>
    <w:rsid w:val="00EC66AC"/>
    <w:rsid w:val="00EE176F"/>
    <w:rsid w:val="00EF31B9"/>
    <w:rsid w:val="00F003B9"/>
    <w:rsid w:val="00F00818"/>
    <w:rsid w:val="00F0688A"/>
    <w:rsid w:val="00F11C26"/>
    <w:rsid w:val="00F14AE8"/>
    <w:rsid w:val="00F2535B"/>
    <w:rsid w:val="00F32523"/>
    <w:rsid w:val="00F40F61"/>
    <w:rsid w:val="00F4178E"/>
    <w:rsid w:val="00F41F1C"/>
    <w:rsid w:val="00F441A5"/>
    <w:rsid w:val="00F5256A"/>
    <w:rsid w:val="00F550C3"/>
    <w:rsid w:val="00F61D4D"/>
    <w:rsid w:val="00F67674"/>
    <w:rsid w:val="00F73ABF"/>
    <w:rsid w:val="00F809B6"/>
    <w:rsid w:val="00F82B9D"/>
    <w:rsid w:val="00F97285"/>
    <w:rsid w:val="00FA384B"/>
    <w:rsid w:val="00FA7CE6"/>
    <w:rsid w:val="00FB5BDD"/>
    <w:rsid w:val="00FB7864"/>
    <w:rsid w:val="00FB7B1F"/>
    <w:rsid w:val="00FC0514"/>
    <w:rsid w:val="00FC1307"/>
    <w:rsid w:val="00FC2EE5"/>
    <w:rsid w:val="00FD25BC"/>
    <w:rsid w:val="00FD4841"/>
    <w:rsid w:val="00FD5DC3"/>
    <w:rsid w:val="00FE73EE"/>
    <w:rsid w:val="00FF290D"/>
    <w:rsid w:val="00FF591D"/>
    <w:rsid w:val="00FF6E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A9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535B"/>
    <w:pPr>
      <w:ind w:left="720"/>
      <w:contextualSpacing/>
    </w:pPr>
  </w:style>
  <w:style w:type="paragraph" w:styleId="En-tte">
    <w:name w:val="header"/>
    <w:basedOn w:val="Normal"/>
    <w:link w:val="En-tteCar"/>
    <w:uiPriority w:val="99"/>
    <w:unhideWhenUsed/>
    <w:rsid w:val="00F2535B"/>
    <w:pPr>
      <w:tabs>
        <w:tab w:val="center" w:pos="4536"/>
        <w:tab w:val="right" w:pos="9072"/>
      </w:tabs>
      <w:spacing w:after="0" w:line="240" w:lineRule="auto"/>
    </w:pPr>
  </w:style>
  <w:style w:type="character" w:customStyle="1" w:styleId="En-tteCar">
    <w:name w:val="En-tête Car"/>
    <w:basedOn w:val="Policepardfaut"/>
    <w:link w:val="En-tte"/>
    <w:uiPriority w:val="99"/>
    <w:rsid w:val="00F2535B"/>
  </w:style>
  <w:style w:type="paragraph" w:styleId="Pieddepage">
    <w:name w:val="footer"/>
    <w:basedOn w:val="Normal"/>
    <w:link w:val="PieddepageCar"/>
    <w:uiPriority w:val="99"/>
    <w:unhideWhenUsed/>
    <w:rsid w:val="00F253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535B"/>
  </w:style>
  <w:style w:type="paragraph" w:styleId="Textedebulles">
    <w:name w:val="Balloon Text"/>
    <w:basedOn w:val="Normal"/>
    <w:link w:val="TextedebullesCar"/>
    <w:uiPriority w:val="99"/>
    <w:semiHidden/>
    <w:unhideWhenUsed/>
    <w:rsid w:val="00F253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535B"/>
    <w:rPr>
      <w:rFonts w:ascii="Tahoma" w:hAnsi="Tahoma" w:cs="Tahoma"/>
      <w:sz w:val="16"/>
      <w:szCs w:val="16"/>
    </w:rPr>
  </w:style>
  <w:style w:type="paragraph" w:styleId="Notedebasdepage">
    <w:name w:val="footnote text"/>
    <w:basedOn w:val="Normal"/>
    <w:link w:val="NotedebasdepageCar"/>
    <w:uiPriority w:val="99"/>
    <w:semiHidden/>
    <w:unhideWhenUsed/>
    <w:rsid w:val="00A95D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95D06"/>
    <w:rPr>
      <w:sz w:val="20"/>
      <w:szCs w:val="20"/>
    </w:rPr>
  </w:style>
  <w:style w:type="character" w:styleId="Marquenotebasdepage">
    <w:name w:val="footnote reference"/>
    <w:basedOn w:val="Policepardfaut"/>
    <w:uiPriority w:val="99"/>
    <w:semiHidden/>
    <w:unhideWhenUsed/>
    <w:rsid w:val="00A95D06"/>
    <w:rPr>
      <w:vertAlign w:val="superscript"/>
    </w:rPr>
  </w:style>
  <w:style w:type="paragraph" w:customStyle="1" w:styleId="Default">
    <w:name w:val="Default"/>
    <w:rsid w:val="00632C80"/>
    <w:pPr>
      <w:autoSpaceDE w:val="0"/>
      <w:autoSpaceDN w:val="0"/>
      <w:adjustRightInd w:val="0"/>
      <w:spacing w:after="0" w:line="240" w:lineRule="auto"/>
    </w:pPr>
    <w:rPr>
      <w:rFonts w:ascii="Arial" w:hAnsi="Arial" w:cs="Arial"/>
      <w:color w:val="000000"/>
      <w:sz w:val="24"/>
      <w:szCs w:val="24"/>
    </w:rPr>
  </w:style>
  <w:style w:type="table" w:styleId="Grille">
    <w:name w:val="Table Grid"/>
    <w:basedOn w:val="TableauNormal"/>
    <w:uiPriority w:val="59"/>
    <w:rsid w:val="00C517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ameclaire-Accent11">
    <w:name w:val="Trame claire - Accent 11"/>
    <w:basedOn w:val="TableauNormal"/>
    <w:uiPriority w:val="60"/>
    <w:rsid w:val="003367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4">
    <w:name w:val="Light Shading Accent 4"/>
    <w:basedOn w:val="TableauNormal"/>
    <w:uiPriority w:val="60"/>
    <w:rsid w:val="003367F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Textedelespacerserv">
    <w:name w:val="Placeholder Text"/>
    <w:basedOn w:val="Policepardfaut"/>
    <w:uiPriority w:val="99"/>
    <w:semiHidden/>
    <w:rsid w:val="004A7CE2"/>
    <w:rPr>
      <w:color w:val="808080"/>
    </w:rPr>
  </w:style>
  <w:style w:type="paragraph" w:styleId="NormalWeb">
    <w:name w:val="Normal (Web)"/>
    <w:basedOn w:val="Normal"/>
    <w:uiPriority w:val="99"/>
    <w:semiHidden/>
    <w:unhideWhenUsed/>
    <w:rsid w:val="004F4B7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dTable1LightAccent2">
    <w:name w:val="Grid Table 1 Light Accent 2"/>
    <w:basedOn w:val="TableauNormal"/>
    <w:uiPriority w:val="46"/>
    <w:rsid w:val="00B315A5"/>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A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535B"/>
    <w:pPr>
      <w:ind w:left="720"/>
      <w:contextualSpacing/>
    </w:pPr>
  </w:style>
  <w:style w:type="paragraph" w:styleId="En-tte">
    <w:name w:val="header"/>
    <w:basedOn w:val="Normal"/>
    <w:link w:val="En-tteCar"/>
    <w:uiPriority w:val="99"/>
    <w:unhideWhenUsed/>
    <w:rsid w:val="00F2535B"/>
    <w:pPr>
      <w:tabs>
        <w:tab w:val="center" w:pos="4536"/>
        <w:tab w:val="right" w:pos="9072"/>
      </w:tabs>
      <w:spacing w:after="0" w:line="240" w:lineRule="auto"/>
    </w:pPr>
  </w:style>
  <w:style w:type="character" w:customStyle="1" w:styleId="En-tteCar">
    <w:name w:val="En-tête Car"/>
    <w:basedOn w:val="Policepardfaut"/>
    <w:link w:val="En-tte"/>
    <w:uiPriority w:val="99"/>
    <w:rsid w:val="00F2535B"/>
  </w:style>
  <w:style w:type="paragraph" w:styleId="Pieddepage">
    <w:name w:val="footer"/>
    <w:basedOn w:val="Normal"/>
    <w:link w:val="PieddepageCar"/>
    <w:uiPriority w:val="99"/>
    <w:unhideWhenUsed/>
    <w:rsid w:val="00F253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535B"/>
  </w:style>
  <w:style w:type="paragraph" w:styleId="Textedebulles">
    <w:name w:val="Balloon Text"/>
    <w:basedOn w:val="Normal"/>
    <w:link w:val="TextedebullesCar"/>
    <w:uiPriority w:val="99"/>
    <w:semiHidden/>
    <w:unhideWhenUsed/>
    <w:rsid w:val="00F253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535B"/>
    <w:rPr>
      <w:rFonts w:ascii="Tahoma" w:hAnsi="Tahoma" w:cs="Tahoma"/>
      <w:sz w:val="16"/>
      <w:szCs w:val="16"/>
    </w:rPr>
  </w:style>
  <w:style w:type="paragraph" w:styleId="Notedebasdepage">
    <w:name w:val="footnote text"/>
    <w:basedOn w:val="Normal"/>
    <w:link w:val="NotedebasdepageCar"/>
    <w:uiPriority w:val="99"/>
    <w:semiHidden/>
    <w:unhideWhenUsed/>
    <w:rsid w:val="00A95D0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95D06"/>
    <w:rPr>
      <w:sz w:val="20"/>
      <w:szCs w:val="20"/>
    </w:rPr>
  </w:style>
  <w:style w:type="character" w:styleId="Marquenotebasdepage">
    <w:name w:val="footnote reference"/>
    <w:basedOn w:val="Policepardfaut"/>
    <w:uiPriority w:val="99"/>
    <w:semiHidden/>
    <w:unhideWhenUsed/>
    <w:rsid w:val="00A95D06"/>
    <w:rPr>
      <w:vertAlign w:val="superscript"/>
    </w:rPr>
  </w:style>
  <w:style w:type="paragraph" w:customStyle="1" w:styleId="Default">
    <w:name w:val="Default"/>
    <w:rsid w:val="00632C80"/>
    <w:pPr>
      <w:autoSpaceDE w:val="0"/>
      <w:autoSpaceDN w:val="0"/>
      <w:adjustRightInd w:val="0"/>
      <w:spacing w:after="0" w:line="240" w:lineRule="auto"/>
    </w:pPr>
    <w:rPr>
      <w:rFonts w:ascii="Arial" w:hAnsi="Arial" w:cs="Arial"/>
      <w:color w:val="000000"/>
      <w:sz w:val="24"/>
      <w:szCs w:val="24"/>
    </w:rPr>
  </w:style>
  <w:style w:type="table" w:styleId="Grille">
    <w:name w:val="Table Grid"/>
    <w:basedOn w:val="TableauNormal"/>
    <w:uiPriority w:val="59"/>
    <w:rsid w:val="00C517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rameclaire-Accent11">
    <w:name w:val="Trame claire - Accent 11"/>
    <w:basedOn w:val="TableauNormal"/>
    <w:uiPriority w:val="60"/>
    <w:rsid w:val="003367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4">
    <w:name w:val="Light Shading Accent 4"/>
    <w:basedOn w:val="TableauNormal"/>
    <w:uiPriority w:val="60"/>
    <w:rsid w:val="003367F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Textedelespacerserv">
    <w:name w:val="Placeholder Text"/>
    <w:basedOn w:val="Policepardfaut"/>
    <w:uiPriority w:val="99"/>
    <w:semiHidden/>
    <w:rsid w:val="004A7CE2"/>
    <w:rPr>
      <w:color w:val="808080"/>
    </w:rPr>
  </w:style>
  <w:style w:type="paragraph" w:styleId="NormalWeb">
    <w:name w:val="Normal (Web)"/>
    <w:basedOn w:val="Normal"/>
    <w:uiPriority w:val="99"/>
    <w:semiHidden/>
    <w:unhideWhenUsed/>
    <w:rsid w:val="004F4B7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GridTable1LightAccent2">
    <w:name w:val="Grid Table 1 Light Accent 2"/>
    <w:basedOn w:val="TableauNormal"/>
    <w:uiPriority w:val="46"/>
    <w:rsid w:val="00B315A5"/>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037">
      <w:bodyDiv w:val="1"/>
      <w:marLeft w:val="0"/>
      <w:marRight w:val="0"/>
      <w:marTop w:val="0"/>
      <w:marBottom w:val="0"/>
      <w:divBdr>
        <w:top w:val="none" w:sz="0" w:space="0" w:color="auto"/>
        <w:left w:val="none" w:sz="0" w:space="0" w:color="auto"/>
        <w:bottom w:val="none" w:sz="0" w:space="0" w:color="auto"/>
        <w:right w:val="none" w:sz="0" w:space="0" w:color="auto"/>
      </w:divBdr>
    </w:div>
    <w:div w:id="1094128858">
      <w:bodyDiv w:val="1"/>
      <w:marLeft w:val="0"/>
      <w:marRight w:val="0"/>
      <w:marTop w:val="0"/>
      <w:marBottom w:val="0"/>
      <w:divBdr>
        <w:top w:val="none" w:sz="0" w:space="0" w:color="auto"/>
        <w:left w:val="none" w:sz="0" w:space="0" w:color="auto"/>
        <w:bottom w:val="none" w:sz="0" w:space="0" w:color="auto"/>
        <w:right w:val="none" w:sz="0" w:space="0" w:color="auto"/>
      </w:divBdr>
      <w:divsChild>
        <w:div w:id="1907185134">
          <w:marLeft w:val="1166"/>
          <w:marRight w:val="0"/>
          <w:marTop w:val="67"/>
          <w:marBottom w:val="0"/>
          <w:divBdr>
            <w:top w:val="none" w:sz="0" w:space="0" w:color="auto"/>
            <w:left w:val="none" w:sz="0" w:space="0" w:color="auto"/>
            <w:bottom w:val="none" w:sz="0" w:space="0" w:color="auto"/>
            <w:right w:val="none" w:sz="0" w:space="0" w:color="auto"/>
          </w:divBdr>
        </w:div>
        <w:div w:id="598031313">
          <w:marLeft w:val="1166"/>
          <w:marRight w:val="0"/>
          <w:marTop w:val="67"/>
          <w:marBottom w:val="0"/>
          <w:divBdr>
            <w:top w:val="none" w:sz="0" w:space="0" w:color="auto"/>
            <w:left w:val="none" w:sz="0" w:space="0" w:color="auto"/>
            <w:bottom w:val="none" w:sz="0" w:space="0" w:color="auto"/>
            <w:right w:val="none" w:sz="0" w:space="0" w:color="auto"/>
          </w:divBdr>
        </w:div>
        <w:div w:id="1762989842">
          <w:marLeft w:val="1166"/>
          <w:marRight w:val="0"/>
          <w:marTop w:val="67"/>
          <w:marBottom w:val="0"/>
          <w:divBdr>
            <w:top w:val="none" w:sz="0" w:space="0" w:color="auto"/>
            <w:left w:val="none" w:sz="0" w:space="0" w:color="auto"/>
            <w:bottom w:val="none" w:sz="0" w:space="0" w:color="auto"/>
            <w:right w:val="none" w:sz="0" w:space="0" w:color="auto"/>
          </w:divBdr>
        </w:div>
        <w:div w:id="311908560">
          <w:marLeft w:val="1166"/>
          <w:marRight w:val="0"/>
          <w:marTop w:val="67"/>
          <w:marBottom w:val="0"/>
          <w:divBdr>
            <w:top w:val="none" w:sz="0" w:space="0" w:color="auto"/>
            <w:left w:val="none" w:sz="0" w:space="0" w:color="auto"/>
            <w:bottom w:val="none" w:sz="0" w:space="0" w:color="auto"/>
            <w:right w:val="none" w:sz="0" w:space="0" w:color="auto"/>
          </w:divBdr>
        </w:div>
      </w:divsChild>
    </w:div>
    <w:div w:id="1678727751">
      <w:bodyDiv w:val="1"/>
      <w:marLeft w:val="0"/>
      <w:marRight w:val="0"/>
      <w:marTop w:val="0"/>
      <w:marBottom w:val="0"/>
      <w:divBdr>
        <w:top w:val="none" w:sz="0" w:space="0" w:color="auto"/>
        <w:left w:val="none" w:sz="0" w:space="0" w:color="auto"/>
        <w:bottom w:val="none" w:sz="0" w:space="0" w:color="auto"/>
        <w:right w:val="none" w:sz="0" w:space="0" w:color="auto"/>
      </w:divBdr>
      <w:divsChild>
        <w:div w:id="537938247">
          <w:marLeft w:val="418"/>
          <w:marRight w:val="0"/>
          <w:marTop w:val="80"/>
          <w:marBottom w:val="0"/>
          <w:divBdr>
            <w:top w:val="none" w:sz="0" w:space="0" w:color="auto"/>
            <w:left w:val="none" w:sz="0" w:space="0" w:color="auto"/>
            <w:bottom w:val="none" w:sz="0" w:space="0" w:color="auto"/>
            <w:right w:val="none" w:sz="0" w:space="0" w:color="auto"/>
          </w:divBdr>
        </w:div>
        <w:div w:id="870189704">
          <w:marLeft w:val="418"/>
          <w:marRight w:val="0"/>
          <w:marTop w:val="80"/>
          <w:marBottom w:val="0"/>
          <w:divBdr>
            <w:top w:val="none" w:sz="0" w:space="0" w:color="auto"/>
            <w:left w:val="none" w:sz="0" w:space="0" w:color="auto"/>
            <w:bottom w:val="none" w:sz="0" w:space="0" w:color="auto"/>
            <w:right w:val="none" w:sz="0" w:space="0" w:color="auto"/>
          </w:divBdr>
        </w:div>
        <w:div w:id="315695223">
          <w:marLeft w:val="418"/>
          <w:marRight w:val="0"/>
          <w:marTop w:val="80"/>
          <w:marBottom w:val="0"/>
          <w:divBdr>
            <w:top w:val="none" w:sz="0" w:space="0" w:color="auto"/>
            <w:left w:val="none" w:sz="0" w:space="0" w:color="auto"/>
            <w:bottom w:val="none" w:sz="0" w:space="0" w:color="auto"/>
            <w:right w:val="none" w:sz="0" w:space="0" w:color="auto"/>
          </w:divBdr>
        </w:div>
        <w:div w:id="1994137446">
          <w:marLeft w:val="418"/>
          <w:marRight w:val="0"/>
          <w:marTop w:val="80"/>
          <w:marBottom w:val="0"/>
          <w:divBdr>
            <w:top w:val="none" w:sz="0" w:space="0" w:color="auto"/>
            <w:left w:val="none" w:sz="0" w:space="0" w:color="auto"/>
            <w:bottom w:val="none" w:sz="0" w:space="0" w:color="auto"/>
            <w:right w:val="none" w:sz="0" w:space="0" w:color="auto"/>
          </w:divBdr>
        </w:div>
        <w:div w:id="1981809982">
          <w:marLeft w:val="418"/>
          <w:marRight w:val="0"/>
          <w:marTop w:val="80"/>
          <w:marBottom w:val="0"/>
          <w:divBdr>
            <w:top w:val="none" w:sz="0" w:space="0" w:color="auto"/>
            <w:left w:val="none" w:sz="0" w:space="0" w:color="auto"/>
            <w:bottom w:val="none" w:sz="0" w:space="0" w:color="auto"/>
            <w:right w:val="none" w:sz="0" w:space="0" w:color="auto"/>
          </w:divBdr>
        </w:div>
        <w:div w:id="384257154">
          <w:marLeft w:val="418"/>
          <w:marRight w:val="0"/>
          <w:marTop w:val="80"/>
          <w:marBottom w:val="0"/>
          <w:divBdr>
            <w:top w:val="none" w:sz="0" w:space="0" w:color="auto"/>
            <w:left w:val="none" w:sz="0" w:space="0" w:color="auto"/>
            <w:bottom w:val="none" w:sz="0" w:space="0" w:color="auto"/>
            <w:right w:val="none" w:sz="0" w:space="0" w:color="auto"/>
          </w:divBdr>
        </w:div>
        <w:div w:id="852380968">
          <w:marLeft w:val="418"/>
          <w:marRight w:val="0"/>
          <w:marTop w:val="80"/>
          <w:marBottom w:val="0"/>
          <w:divBdr>
            <w:top w:val="none" w:sz="0" w:space="0" w:color="auto"/>
            <w:left w:val="none" w:sz="0" w:space="0" w:color="auto"/>
            <w:bottom w:val="none" w:sz="0" w:space="0" w:color="auto"/>
            <w:right w:val="none" w:sz="0" w:space="0" w:color="auto"/>
          </w:divBdr>
        </w:div>
        <w:div w:id="631404770">
          <w:marLeft w:val="418"/>
          <w:marRight w:val="0"/>
          <w:marTop w:val="80"/>
          <w:marBottom w:val="0"/>
          <w:divBdr>
            <w:top w:val="none" w:sz="0" w:space="0" w:color="auto"/>
            <w:left w:val="none" w:sz="0" w:space="0" w:color="auto"/>
            <w:bottom w:val="none" w:sz="0" w:space="0" w:color="auto"/>
            <w:right w:val="none" w:sz="0" w:space="0" w:color="auto"/>
          </w:divBdr>
        </w:div>
        <w:div w:id="500393471">
          <w:marLeft w:val="418"/>
          <w:marRight w:val="0"/>
          <w:marTop w:val="80"/>
          <w:marBottom w:val="0"/>
          <w:divBdr>
            <w:top w:val="none" w:sz="0" w:space="0" w:color="auto"/>
            <w:left w:val="none" w:sz="0" w:space="0" w:color="auto"/>
            <w:bottom w:val="none" w:sz="0" w:space="0" w:color="auto"/>
            <w:right w:val="none" w:sz="0" w:space="0" w:color="auto"/>
          </w:divBdr>
        </w:div>
        <w:div w:id="2127389484">
          <w:marLeft w:val="418"/>
          <w:marRight w:val="0"/>
          <w:marTop w:val="80"/>
          <w:marBottom w:val="0"/>
          <w:divBdr>
            <w:top w:val="none" w:sz="0" w:space="0" w:color="auto"/>
            <w:left w:val="none" w:sz="0" w:space="0" w:color="auto"/>
            <w:bottom w:val="none" w:sz="0" w:space="0" w:color="auto"/>
            <w:right w:val="none" w:sz="0" w:space="0" w:color="auto"/>
          </w:divBdr>
        </w:div>
        <w:div w:id="569921037">
          <w:marLeft w:val="418"/>
          <w:marRight w:val="0"/>
          <w:marTop w:val="80"/>
          <w:marBottom w:val="0"/>
          <w:divBdr>
            <w:top w:val="none" w:sz="0" w:space="0" w:color="auto"/>
            <w:left w:val="none" w:sz="0" w:space="0" w:color="auto"/>
            <w:bottom w:val="none" w:sz="0" w:space="0" w:color="auto"/>
            <w:right w:val="none" w:sz="0" w:space="0" w:color="auto"/>
          </w:divBdr>
        </w:div>
      </w:divsChild>
    </w:div>
    <w:div w:id="1864903677">
      <w:bodyDiv w:val="1"/>
      <w:marLeft w:val="0"/>
      <w:marRight w:val="0"/>
      <w:marTop w:val="0"/>
      <w:marBottom w:val="0"/>
      <w:divBdr>
        <w:top w:val="none" w:sz="0" w:space="0" w:color="auto"/>
        <w:left w:val="none" w:sz="0" w:space="0" w:color="auto"/>
        <w:bottom w:val="none" w:sz="0" w:space="0" w:color="auto"/>
        <w:right w:val="none" w:sz="0" w:space="0" w:color="auto"/>
      </w:divBdr>
      <w:divsChild>
        <w:div w:id="968975691">
          <w:marLeft w:val="1138"/>
          <w:marRight w:val="0"/>
          <w:marTop w:val="80"/>
          <w:marBottom w:val="0"/>
          <w:divBdr>
            <w:top w:val="none" w:sz="0" w:space="0" w:color="auto"/>
            <w:left w:val="none" w:sz="0" w:space="0" w:color="auto"/>
            <w:bottom w:val="none" w:sz="0" w:space="0" w:color="auto"/>
            <w:right w:val="none" w:sz="0" w:space="0" w:color="auto"/>
          </w:divBdr>
        </w:div>
        <w:div w:id="598565437">
          <w:marLeft w:val="1699"/>
          <w:marRight w:val="0"/>
          <w:marTop w:val="80"/>
          <w:marBottom w:val="0"/>
          <w:divBdr>
            <w:top w:val="none" w:sz="0" w:space="0" w:color="auto"/>
            <w:left w:val="none" w:sz="0" w:space="0" w:color="auto"/>
            <w:bottom w:val="none" w:sz="0" w:space="0" w:color="auto"/>
            <w:right w:val="none" w:sz="0" w:space="0" w:color="auto"/>
          </w:divBdr>
        </w:div>
        <w:div w:id="1819414444">
          <w:marLeft w:val="1699"/>
          <w:marRight w:val="0"/>
          <w:marTop w:val="80"/>
          <w:marBottom w:val="0"/>
          <w:divBdr>
            <w:top w:val="none" w:sz="0" w:space="0" w:color="auto"/>
            <w:left w:val="none" w:sz="0" w:space="0" w:color="auto"/>
            <w:bottom w:val="none" w:sz="0" w:space="0" w:color="auto"/>
            <w:right w:val="none" w:sz="0" w:space="0" w:color="auto"/>
          </w:divBdr>
        </w:div>
        <w:div w:id="1484466591">
          <w:marLeft w:val="1699"/>
          <w:marRight w:val="0"/>
          <w:marTop w:val="80"/>
          <w:marBottom w:val="0"/>
          <w:divBdr>
            <w:top w:val="none" w:sz="0" w:space="0" w:color="auto"/>
            <w:left w:val="none" w:sz="0" w:space="0" w:color="auto"/>
            <w:bottom w:val="none" w:sz="0" w:space="0" w:color="auto"/>
            <w:right w:val="none" w:sz="0" w:space="0" w:color="auto"/>
          </w:divBdr>
        </w:div>
        <w:div w:id="1446658897">
          <w:marLeft w:val="1699"/>
          <w:marRight w:val="0"/>
          <w:marTop w:val="80"/>
          <w:marBottom w:val="0"/>
          <w:divBdr>
            <w:top w:val="none" w:sz="0" w:space="0" w:color="auto"/>
            <w:left w:val="none" w:sz="0" w:space="0" w:color="auto"/>
            <w:bottom w:val="none" w:sz="0" w:space="0" w:color="auto"/>
            <w:right w:val="none" w:sz="0" w:space="0" w:color="auto"/>
          </w:divBdr>
        </w:div>
        <w:div w:id="118686533">
          <w:marLeft w:val="1138"/>
          <w:marRight w:val="0"/>
          <w:marTop w:val="80"/>
          <w:marBottom w:val="0"/>
          <w:divBdr>
            <w:top w:val="none" w:sz="0" w:space="0" w:color="auto"/>
            <w:left w:val="none" w:sz="0" w:space="0" w:color="auto"/>
            <w:bottom w:val="none" w:sz="0" w:space="0" w:color="auto"/>
            <w:right w:val="none" w:sz="0" w:space="0" w:color="auto"/>
          </w:divBdr>
        </w:div>
        <w:div w:id="1762024989">
          <w:marLeft w:val="1699"/>
          <w:marRight w:val="0"/>
          <w:marTop w:val="80"/>
          <w:marBottom w:val="0"/>
          <w:divBdr>
            <w:top w:val="none" w:sz="0" w:space="0" w:color="auto"/>
            <w:left w:val="none" w:sz="0" w:space="0" w:color="auto"/>
            <w:bottom w:val="none" w:sz="0" w:space="0" w:color="auto"/>
            <w:right w:val="none" w:sz="0" w:space="0" w:color="auto"/>
          </w:divBdr>
        </w:div>
        <w:div w:id="832184022">
          <w:marLeft w:val="1699"/>
          <w:marRight w:val="0"/>
          <w:marTop w:val="80"/>
          <w:marBottom w:val="0"/>
          <w:divBdr>
            <w:top w:val="none" w:sz="0" w:space="0" w:color="auto"/>
            <w:left w:val="none" w:sz="0" w:space="0" w:color="auto"/>
            <w:bottom w:val="none" w:sz="0" w:space="0" w:color="auto"/>
            <w:right w:val="none" w:sz="0" w:space="0" w:color="auto"/>
          </w:divBdr>
        </w:div>
        <w:div w:id="155221163">
          <w:marLeft w:val="1699"/>
          <w:marRight w:val="0"/>
          <w:marTop w:val="80"/>
          <w:marBottom w:val="0"/>
          <w:divBdr>
            <w:top w:val="none" w:sz="0" w:space="0" w:color="auto"/>
            <w:left w:val="none" w:sz="0" w:space="0" w:color="auto"/>
            <w:bottom w:val="none" w:sz="0" w:space="0" w:color="auto"/>
            <w:right w:val="none" w:sz="0" w:space="0" w:color="auto"/>
          </w:divBdr>
        </w:div>
        <w:div w:id="1742873198">
          <w:marLeft w:val="1699"/>
          <w:marRight w:val="0"/>
          <w:marTop w:val="80"/>
          <w:marBottom w:val="0"/>
          <w:divBdr>
            <w:top w:val="none" w:sz="0" w:space="0" w:color="auto"/>
            <w:left w:val="none" w:sz="0" w:space="0" w:color="auto"/>
            <w:bottom w:val="none" w:sz="0" w:space="0" w:color="auto"/>
            <w:right w:val="none" w:sz="0" w:space="0" w:color="auto"/>
          </w:divBdr>
        </w:div>
      </w:divsChild>
    </w:div>
    <w:div w:id="2085225860">
      <w:bodyDiv w:val="1"/>
      <w:marLeft w:val="0"/>
      <w:marRight w:val="0"/>
      <w:marTop w:val="0"/>
      <w:marBottom w:val="0"/>
      <w:divBdr>
        <w:top w:val="none" w:sz="0" w:space="0" w:color="auto"/>
        <w:left w:val="none" w:sz="0" w:space="0" w:color="auto"/>
        <w:bottom w:val="none" w:sz="0" w:space="0" w:color="auto"/>
        <w:right w:val="none" w:sz="0" w:space="0" w:color="auto"/>
      </w:divBdr>
      <w:divsChild>
        <w:div w:id="1841113019">
          <w:marLeft w:val="1138"/>
          <w:marRight w:val="0"/>
          <w:marTop w:val="80"/>
          <w:marBottom w:val="0"/>
          <w:divBdr>
            <w:top w:val="none" w:sz="0" w:space="0" w:color="auto"/>
            <w:left w:val="none" w:sz="0" w:space="0" w:color="auto"/>
            <w:bottom w:val="none" w:sz="0" w:space="0" w:color="auto"/>
            <w:right w:val="none" w:sz="0" w:space="0" w:color="auto"/>
          </w:divBdr>
        </w:div>
        <w:div w:id="848830739">
          <w:marLeft w:val="1699"/>
          <w:marRight w:val="0"/>
          <w:marTop w:val="80"/>
          <w:marBottom w:val="0"/>
          <w:divBdr>
            <w:top w:val="none" w:sz="0" w:space="0" w:color="auto"/>
            <w:left w:val="none" w:sz="0" w:space="0" w:color="auto"/>
            <w:bottom w:val="none" w:sz="0" w:space="0" w:color="auto"/>
            <w:right w:val="none" w:sz="0" w:space="0" w:color="auto"/>
          </w:divBdr>
        </w:div>
        <w:div w:id="1989170106">
          <w:marLeft w:val="1699"/>
          <w:marRight w:val="0"/>
          <w:marTop w:val="80"/>
          <w:marBottom w:val="0"/>
          <w:divBdr>
            <w:top w:val="none" w:sz="0" w:space="0" w:color="auto"/>
            <w:left w:val="none" w:sz="0" w:space="0" w:color="auto"/>
            <w:bottom w:val="none" w:sz="0" w:space="0" w:color="auto"/>
            <w:right w:val="none" w:sz="0" w:space="0" w:color="auto"/>
          </w:divBdr>
        </w:div>
        <w:div w:id="672072422">
          <w:marLeft w:val="1138"/>
          <w:marRight w:val="0"/>
          <w:marTop w:val="80"/>
          <w:marBottom w:val="0"/>
          <w:divBdr>
            <w:top w:val="none" w:sz="0" w:space="0" w:color="auto"/>
            <w:left w:val="none" w:sz="0" w:space="0" w:color="auto"/>
            <w:bottom w:val="none" w:sz="0" w:space="0" w:color="auto"/>
            <w:right w:val="none" w:sz="0" w:space="0" w:color="auto"/>
          </w:divBdr>
        </w:div>
        <w:div w:id="1101728509">
          <w:marLeft w:val="1699"/>
          <w:marRight w:val="0"/>
          <w:marTop w:val="80"/>
          <w:marBottom w:val="0"/>
          <w:divBdr>
            <w:top w:val="none" w:sz="0" w:space="0" w:color="auto"/>
            <w:left w:val="none" w:sz="0" w:space="0" w:color="auto"/>
            <w:bottom w:val="none" w:sz="0" w:space="0" w:color="auto"/>
            <w:right w:val="none" w:sz="0" w:space="0" w:color="auto"/>
          </w:divBdr>
        </w:div>
        <w:div w:id="565801341">
          <w:marLeft w:val="1699"/>
          <w:marRight w:val="0"/>
          <w:marTop w:val="80"/>
          <w:marBottom w:val="0"/>
          <w:divBdr>
            <w:top w:val="none" w:sz="0" w:space="0" w:color="auto"/>
            <w:left w:val="none" w:sz="0" w:space="0" w:color="auto"/>
            <w:bottom w:val="none" w:sz="0" w:space="0" w:color="auto"/>
            <w:right w:val="none" w:sz="0" w:space="0" w:color="auto"/>
          </w:divBdr>
        </w:div>
        <w:div w:id="66610256">
          <w:marLeft w:val="1699"/>
          <w:marRight w:val="0"/>
          <w:marTop w:val="80"/>
          <w:marBottom w:val="0"/>
          <w:divBdr>
            <w:top w:val="none" w:sz="0" w:space="0" w:color="auto"/>
            <w:left w:val="none" w:sz="0" w:space="0" w:color="auto"/>
            <w:bottom w:val="none" w:sz="0" w:space="0" w:color="auto"/>
            <w:right w:val="none" w:sz="0" w:space="0" w:color="auto"/>
          </w:divBdr>
        </w:div>
        <w:div w:id="2063022392">
          <w:marLeft w:val="1138"/>
          <w:marRight w:val="0"/>
          <w:marTop w:val="80"/>
          <w:marBottom w:val="0"/>
          <w:divBdr>
            <w:top w:val="none" w:sz="0" w:space="0" w:color="auto"/>
            <w:left w:val="none" w:sz="0" w:space="0" w:color="auto"/>
            <w:bottom w:val="none" w:sz="0" w:space="0" w:color="auto"/>
            <w:right w:val="none" w:sz="0" w:space="0" w:color="auto"/>
          </w:divBdr>
        </w:div>
        <w:div w:id="714698483">
          <w:marLeft w:val="1138"/>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58019\Desktop\Prov%2051-52-53\Cumuls%20VD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58019\Desktop\Prov%2051-52-53\nucl&#233;aire,%20feuille%20de%20route%20(suppor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Feuil1!$A$43</c:f>
              <c:strCache>
                <c:ptCount val="1"/>
                <c:pt idx="0">
                  <c:v>Population (en GW) n'ayant pas atteint la date de VD4</c:v>
                </c:pt>
              </c:strCache>
            </c:strRef>
          </c:tx>
          <c:spPr>
            <a:ln w="28575" cap="rnd">
              <a:solidFill>
                <a:srgbClr val="0037A4"/>
              </a:solidFill>
              <a:round/>
            </a:ln>
            <a:effectLst/>
          </c:spPr>
          <c:marker>
            <c:symbol val="none"/>
          </c:marker>
          <c:cat>
            <c:numRef>
              <c:f>Feuil1!$B$42:$Z$42</c:f>
              <c:numCache>
                <c:formatCode>General</c:formatCode>
                <c:ptCount val="25"/>
                <c:pt idx="0">
                  <c:v>2018.0</c:v>
                </c:pt>
                <c:pt idx="1">
                  <c:v>2019.0</c:v>
                </c:pt>
                <c:pt idx="2">
                  <c:v>2020.0</c:v>
                </c:pt>
                <c:pt idx="3">
                  <c:v>2021.0</c:v>
                </c:pt>
                <c:pt idx="4">
                  <c:v>2022.0</c:v>
                </c:pt>
                <c:pt idx="5">
                  <c:v>2023.0</c:v>
                </c:pt>
                <c:pt idx="6">
                  <c:v>2024.0</c:v>
                </c:pt>
                <c:pt idx="7">
                  <c:v>2025.0</c:v>
                </c:pt>
                <c:pt idx="8">
                  <c:v>2026.0</c:v>
                </c:pt>
                <c:pt idx="9">
                  <c:v>2027.0</c:v>
                </c:pt>
                <c:pt idx="10">
                  <c:v>2028.0</c:v>
                </c:pt>
                <c:pt idx="11">
                  <c:v>2029.0</c:v>
                </c:pt>
                <c:pt idx="12">
                  <c:v>2030.0</c:v>
                </c:pt>
                <c:pt idx="13">
                  <c:v>2031.0</c:v>
                </c:pt>
                <c:pt idx="14">
                  <c:v>2032.0</c:v>
                </c:pt>
                <c:pt idx="15">
                  <c:v>2033.0</c:v>
                </c:pt>
                <c:pt idx="16">
                  <c:v>2034.0</c:v>
                </c:pt>
                <c:pt idx="17">
                  <c:v>2035.0</c:v>
                </c:pt>
                <c:pt idx="18">
                  <c:v>2036.0</c:v>
                </c:pt>
                <c:pt idx="19">
                  <c:v>2037.0</c:v>
                </c:pt>
                <c:pt idx="20">
                  <c:v>2038.0</c:v>
                </c:pt>
                <c:pt idx="21">
                  <c:v>2039.0</c:v>
                </c:pt>
                <c:pt idx="22">
                  <c:v>2040.0</c:v>
                </c:pt>
                <c:pt idx="23">
                  <c:v>2041.0</c:v>
                </c:pt>
                <c:pt idx="24">
                  <c:v>2042.0</c:v>
                </c:pt>
              </c:numCache>
            </c:numRef>
          </c:cat>
          <c:val>
            <c:numRef>
              <c:f>Feuil1!$B$43:$Z$43</c:f>
              <c:numCache>
                <c:formatCode>General</c:formatCode>
                <c:ptCount val="25"/>
                <c:pt idx="0">
                  <c:v>63.0</c:v>
                </c:pt>
                <c:pt idx="1">
                  <c:v>62.09</c:v>
                </c:pt>
                <c:pt idx="2">
                  <c:v>60.27</c:v>
                </c:pt>
                <c:pt idx="3">
                  <c:v>55.72</c:v>
                </c:pt>
                <c:pt idx="4">
                  <c:v>52.08</c:v>
                </c:pt>
                <c:pt idx="5">
                  <c:v>46.62000000000001</c:v>
                </c:pt>
                <c:pt idx="6">
                  <c:v>42.98</c:v>
                </c:pt>
                <c:pt idx="7">
                  <c:v>38.935</c:v>
                </c:pt>
                <c:pt idx="8">
                  <c:v>34.485</c:v>
                </c:pt>
                <c:pt idx="9">
                  <c:v>26.495</c:v>
                </c:pt>
                <c:pt idx="10">
                  <c:v>22.55</c:v>
                </c:pt>
                <c:pt idx="11">
                  <c:v>20.325</c:v>
                </c:pt>
                <c:pt idx="12">
                  <c:v>15.47</c:v>
                </c:pt>
                <c:pt idx="13">
                  <c:v>12.84</c:v>
                </c:pt>
                <c:pt idx="14">
                  <c:v>10.21</c:v>
                </c:pt>
                <c:pt idx="15">
                  <c:v>8.895</c:v>
                </c:pt>
                <c:pt idx="16">
                  <c:v>7.579999999999998</c:v>
                </c:pt>
                <c:pt idx="17">
                  <c:v>7.579999999999998</c:v>
                </c:pt>
                <c:pt idx="18">
                  <c:v>7.579999999999998</c:v>
                </c:pt>
                <c:pt idx="19">
                  <c:v>7.579999999999998</c:v>
                </c:pt>
                <c:pt idx="20">
                  <c:v>7.579999999999998</c:v>
                </c:pt>
                <c:pt idx="21">
                  <c:v>6.094999999999995</c:v>
                </c:pt>
                <c:pt idx="22">
                  <c:v>4.609999999999998</c:v>
                </c:pt>
                <c:pt idx="23">
                  <c:v>3.124999999999998</c:v>
                </c:pt>
                <c:pt idx="24">
                  <c:v>1.639999999999998</c:v>
                </c:pt>
              </c:numCache>
            </c:numRef>
          </c:val>
          <c:smooth val="0"/>
        </c:ser>
        <c:ser>
          <c:idx val="1"/>
          <c:order val="1"/>
          <c:tx>
            <c:strRef>
              <c:f>Feuil1!$A$44</c:f>
              <c:strCache>
                <c:ptCount val="1"/>
                <c:pt idx="0">
                  <c:v>Population (en GW) n'ayant pas atteint la date (éventuelle) de VD5</c:v>
                </c:pt>
              </c:strCache>
            </c:strRef>
          </c:tx>
          <c:spPr>
            <a:ln w="28575" cap="rnd">
              <a:solidFill>
                <a:srgbClr val="8FCFFF"/>
              </a:solidFill>
              <a:round/>
            </a:ln>
            <a:effectLst/>
          </c:spPr>
          <c:marker>
            <c:symbol val="none"/>
          </c:marker>
          <c:cat>
            <c:numRef>
              <c:f>Feuil1!$B$42:$Z$42</c:f>
              <c:numCache>
                <c:formatCode>General</c:formatCode>
                <c:ptCount val="25"/>
                <c:pt idx="0">
                  <c:v>2018.0</c:v>
                </c:pt>
                <c:pt idx="1">
                  <c:v>2019.0</c:v>
                </c:pt>
                <c:pt idx="2">
                  <c:v>2020.0</c:v>
                </c:pt>
                <c:pt idx="3">
                  <c:v>2021.0</c:v>
                </c:pt>
                <c:pt idx="4">
                  <c:v>2022.0</c:v>
                </c:pt>
                <c:pt idx="5">
                  <c:v>2023.0</c:v>
                </c:pt>
                <c:pt idx="6">
                  <c:v>2024.0</c:v>
                </c:pt>
                <c:pt idx="7">
                  <c:v>2025.0</c:v>
                </c:pt>
                <c:pt idx="8">
                  <c:v>2026.0</c:v>
                </c:pt>
                <c:pt idx="9">
                  <c:v>2027.0</c:v>
                </c:pt>
                <c:pt idx="10">
                  <c:v>2028.0</c:v>
                </c:pt>
                <c:pt idx="11">
                  <c:v>2029.0</c:v>
                </c:pt>
                <c:pt idx="12">
                  <c:v>2030.0</c:v>
                </c:pt>
                <c:pt idx="13">
                  <c:v>2031.0</c:v>
                </c:pt>
                <c:pt idx="14">
                  <c:v>2032.0</c:v>
                </c:pt>
                <c:pt idx="15">
                  <c:v>2033.0</c:v>
                </c:pt>
                <c:pt idx="16">
                  <c:v>2034.0</c:v>
                </c:pt>
                <c:pt idx="17">
                  <c:v>2035.0</c:v>
                </c:pt>
                <c:pt idx="18">
                  <c:v>2036.0</c:v>
                </c:pt>
                <c:pt idx="19">
                  <c:v>2037.0</c:v>
                </c:pt>
                <c:pt idx="20">
                  <c:v>2038.0</c:v>
                </c:pt>
                <c:pt idx="21">
                  <c:v>2039.0</c:v>
                </c:pt>
                <c:pt idx="22">
                  <c:v>2040.0</c:v>
                </c:pt>
                <c:pt idx="23">
                  <c:v>2041.0</c:v>
                </c:pt>
                <c:pt idx="24">
                  <c:v>2042.0</c:v>
                </c:pt>
              </c:numCache>
            </c:numRef>
          </c:cat>
          <c:val>
            <c:numRef>
              <c:f>Feuil1!$B$44:$Z$44</c:f>
              <c:numCache>
                <c:formatCode>General</c:formatCode>
                <c:ptCount val="25"/>
                <c:pt idx="0">
                  <c:v>63.0</c:v>
                </c:pt>
                <c:pt idx="1">
                  <c:v>63.0</c:v>
                </c:pt>
                <c:pt idx="2">
                  <c:v>63.0</c:v>
                </c:pt>
                <c:pt idx="3">
                  <c:v>63.0</c:v>
                </c:pt>
                <c:pt idx="4">
                  <c:v>63.0</c:v>
                </c:pt>
                <c:pt idx="5">
                  <c:v>63.0</c:v>
                </c:pt>
                <c:pt idx="6">
                  <c:v>63.0</c:v>
                </c:pt>
                <c:pt idx="7">
                  <c:v>63.0</c:v>
                </c:pt>
                <c:pt idx="8">
                  <c:v>63.0</c:v>
                </c:pt>
                <c:pt idx="9">
                  <c:v>63.0</c:v>
                </c:pt>
                <c:pt idx="10">
                  <c:v>63.0</c:v>
                </c:pt>
                <c:pt idx="11">
                  <c:v>62.09</c:v>
                </c:pt>
                <c:pt idx="12">
                  <c:v>60.27</c:v>
                </c:pt>
                <c:pt idx="13">
                  <c:v>55.72</c:v>
                </c:pt>
                <c:pt idx="14">
                  <c:v>52.08</c:v>
                </c:pt>
                <c:pt idx="15">
                  <c:v>46.62000000000001</c:v>
                </c:pt>
                <c:pt idx="16">
                  <c:v>42.98</c:v>
                </c:pt>
                <c:pt idx="17">
                  <c:v>38.935</c:v>
                </c:pt>
                <c:pt idx="18">
                  <c:v>34.485</c:v>
                </c:pt>
                <c:pt idx="19">
                  <c:v>26.495</c:v>
                </c:pt>
                <c:pt idx="20">
                  <c:v>22.55</c:v>
                </c:pt>
                <c:pt idx="21">
                  <c:v>20.325</c:v>
                </c:pt>
                <c:pt idx="22">
                  <c:v>15.47</c:v>
                </c:pt>
                <c:pt idx="23">
                  <c:v>12.84</c:v>
                </c:pt>
                <c:pt idx="24">
                  <c:v>10.21</c:v>
                </c:pt>
              </c:numCache>
            </c:numRef>
          </c:val>
          <c:smooth val="0"/>
        </c:ser>
        <c:dLbls>
          <c:showLegendKey val="0"/>
          <c:showVal val="0"/>
          <c:showCatName val="0"/>
          <c:showSerName val="0"/>
          <c:showPercent val="0"/>
          <c:showBubbleSize val="0"/>
        </c:dLbls>
        <c:marker val="1"/>
        <c:smooth val="0"/>
        <c:axId val="2111176392"/>
        <c:axId val="2110786776"/>
      </c:lineChart>
      <c:catAx>
        <c:axId val="2111176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fr-FR"/>
          </a:p>
        </c:txPr>
        <c:crossAx val="2110786776"/>
        <c:crosses val="autoZero"/>
        <c:auto val="1"/>
        <c:lblAlgn val="ctr"/>
        <c:lblOffset val="100"/>
        <c:noMultiLvlLbl val="0"/>
      </c:catAx>
      <c:valAx>
        <c:axId val="2110786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111176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Feuil1!$A$63</c:f>
              <c:strCache>
                <c:ptCount val="1"/>
                <c:pt idx="0">
                  <c:v>Supplément fossile à produire ou importer</c:v>
                </c:pt>
              </c:strCache>
            </c:strRef>
          </c:tx>
          <c:spPr>
            <a:solidFill>
              <a:schemeClr val="bg1">
                <a:lumMod val="50000"/>
              </a:schemeClr>
            </a:solidFill>
            <a:ln>
              <a:noFill/>
            </a:ln>
            <a:effectLst/>
          </c:spPr>
          <c:cat>
            <c:numRef>
              <c:f>Feuil1!$B$62:$K$62</c:f>
              <c:numCache>
                <c:formatCode>General</c:formatCode>
                <c:ptCount val="10"/>
                <c:pt idx="0">
                  <c:v>2016.0</c:v>
                </c:pt>
                <c:pt idx="1">
                  <c:v>2017.0</c:v>
                </c:pt>
                <c:pt idx="2">
                  <c:v>2018.0</c:v>
                </c:pt>
                <c:pt idx="3">
                  <c:v>2019.0</c:v>
                </c:pt>
                <c:pt idx="4">
                  <c:v>2020.0</c:v>
                </c:pt>
                <c:pt idx="5">
                  <c:v>2021.0</c:v>
                </c:pt>
                <c:pt idx="6">
                  <c:v>2022.0</c:v>
                </c:pt>
                <c:pt idx="7">
                  <c:v>2023.0</c:v>
                </c:pt>
                <c:pt idx="8">
                  <c:v>2024.0</c:v>
                </c:pt>
                <c:pt idx="9">
                  <c:v>2025.0</c:v>
                </c:pt>
              </c:numCache>
            </c:numRef>
          </c:cat>
          <c:val>
            <c:numRef>
              <c:f>Feuil1!$B$63:$K$63</c:f>
              <c:numCache>
                <c:formatCode>General</c:formatCode>
                <c:ptCount val="10"/>
                <c:pt idx="0">
                  <c:v>0.0</c:v>
                </c:pt>
                <c:pt idx="1">
                  <c:v>7.222222222222222</c:v>
                </c:pt>
                <c:pt idx="2">
                  <c:v>14.44444444444445</c:v>
                </c:pt>
                <c:pt idx="3">
                  <c:v>21.66666666666667</c:v>
                </c:pt>
                <c:pt idx="4">
                  <c:v>28.88888888888889</c:v>
                </c:pt>
                <c:pt idx="5">
                  <c:v>36.11111111111111</c:v>
                </c:pt>
                <c:pt idx="6">
                  <c:v>43.33333333333334</c:v>
                </c:pt>
                <c:pt idx="7">
                  <c:v>50.55555555555556</c:v>
                </c:pt>
                <c:pt idx="8">
                  <c:v>57.77777777777778</c:v>
                </c:pt>
                <c:pt idx="9">
                  <c:v>65.0</c:v>
                </c:pt>
              </c:numCache>
            </c:numRef>
          </c:val>
        </c:ser>
        <c:ser>
          <c:idx val="1"/>
          <c:order val="1"/>
          <c:tx>
            <c:strRef>
              <c:f>Feuil1!$A$64</c:f>
              <c:strCache>
                <c:ptCount val="1"/>
                <c:pt idx="0">
                  <c:v>Thermique fossile tel que 2016, puis déclassement fioul et charbon</c:v>
                </c:pt>
              </c:strCache>
            </c:strRef>
          </c:tx>
          <c:spPr>
            <a:solidFill>
              <a:schemeClr val="tx1">
                <a:lumMod val="65000"/>
                <a:lumOff val="35000"/>
                <a:alpha val="47000"/>
              </a:schemeClr>
            </a:solidFill>
            <a:ln>
              <a:noFill/>
            </a:ln>
            <a:effectLst/>
          </c:spPr>
          <c:cat>
            <c:numRef>
              <c:f>Feuil1!$B$62:$K$62</c:f>
              <c:numCache>
                <c:formatCode>General</c:formatCode>
                <c:ptCount val="10"/>
                <c:pt idx="0">
                  <c:v>2016.0</c:v>
                </c:pt>
                <c:pt idx="1">
                  <c:v>2017.0</c:v>
                </c:pt>
                <c:pt idx="2">
                  <c:v>2018.0</c:v>
                </c:pt>
                <c:pt idx="3">
                  <c:v>2019.0</c:v>
                </c:pt>
                <c:pt idx="4">
                  <c:v>2020.0</c:v>
                </c:pt>
                <c:pt idx="5">
                  <c:v>2021.0</c:v>
                </c:pt>
                <c:pt idx="6">
                  <c:v>2022.0</c:v>
                </c:pt>
                <c:pt idx="7">
                  <c:v>2023.0</c:v>
                </c:pt>
                <c:pt idx="8">
                  <c:v>2024.0</c:v>
                </c:pt>
                <c:pt idx="9">
                  <c:v>2025.0</c:v>
                </c:pt>
              </c:numCache>
            </c:numRef>
          </c:cat>
          <c:val>
            <c:numRef>
              <c:f>Feuil1!$B$64:$K$64</c:f>
              <c:numCache>
                <c:formatCode>General</c:formatCode>
                <c:ptCount val="10"/>
                <c:pt idx="0">
                  <c:v>46.0</c:v>
                </c:pt>
                <c:pt idx="1">
                  <c:v>45.0</c:v>
                </c:pt>
                <c:pt idx="2">
                  <c:v>44.0</c:v>
                </c:pt>
                <c:pt idx="3">
                  <c:v>43.0</c:v>
                </c:pt>
                <c:pt idx="4">
                  <c:v>42.0</c:v>
                </c:pt>
                <c:pt idx="5">
                  <c:v>41.0</c:v>
                </c:pt>
                <c:pt idx="6">
                  <c:v>40.0</c:v>
                </c:pt>
                <c:pt idx="7">
                  <c:v>39.0</c:v>
                </c:pt>
                <c:pt idx="8">
                  <c:v>38.0</c:v>
                </c:pt>
                <c:pt idx="9">
                  <c:v>37.0</c:v>
                </c:pt>
              </c:numCache>
            </c:numRef>
          </c:val>
        </c:ser>
        <c:ser>
          <c:idx val="2"/>
          <c:order val="2"/>
          <c:tx>
            <c:strRef>
              <c:f>Feuil1!$A$65</c:f>
              <c:strCache>
                <c:ptCount val="1"/>
                <c:pt idx="0">
                  <c:v>Renouvelables (hydraulique, éolien, PV, biomasse), scénario haut PPE</c:v>
                </c:pt>
              </c:strCache>
            </c:strRef>
          </c:tx>
          <c:spPr>
            <a:solidFill>
              <a:srgbClr val="25A2FF">
                <a:alpha val="48000"/>
              </a:srgbClr>
            </a:solidFill>
            <a:ln>
              <a:noFill/>
            </a:ln>
            <a:effectLst/>
          </c:spPr>
          <c:cat>
            <c:numRef>
              <c:f>Feuil1!$B$62:$K$62</c:f>
              <c:numCache>
                <c:formatCode>General</c:formatCode>
                <c:ptCount val="10"/>
                <c:pt idx="0">
                  <c:v>2016.0</c:v>
                </c:pt>
                <c:pt idx="1">
                  <c:v>2017.0</c:v>
                </c:pt>
                <c:pt idx="2">
                  <c:v>2018.0</c:v>
                </c:pt>
                <c:pt idx="3">
                  <c:v>2019.0</c:v>
                </c:pt>
                <c:pt idx="4">
                  <c:v>2020.0</c:v>
                </c:pt>
                <c:pt idx="5">
                  <c:v>2021.0</c:v>
                </c:pt>
                <c:pt idx="6">
                  <c:v>2022.0</c:v>
                </c:pt>
                <c:pt idx="7">
                  <c:v>2023.0</c:v>
                </c:pt>
                <c:pt idx="8">
                  <c:v>2024.0</c:v>
                </c:pt>
                <c:pt idx="9">
                  <c:v>2025.0</c:v>
                </c:pt>
              </c:numCache>
            </c:numRef>
          </c:cat>
          <c:val>
            <c:numRef>
              <c:f>Feuil1!$B$65:$K$65</c:f>
              <c:numCache>
                <c:formatCode>General</c:formatCode>
                <c:ptCount val="10"/>
                <c:pt idx="0">
                  <c:v>101.0</c:v>
                </c:pt>
                <c:pt idx="1">
                  <c:v>108.3333333333333</c:v>
                </c:pt>
                <c:pt idx="2">
                  <c:v>115.6666666666667</c:v>
                </c:pt>
                <c:pt idx="3">
                  <c:v>123.0</c:v>
                </c:pt>
                <c:pt idx="4">
                  <c:v>130.3333333333333</c:v>
                </c:pt>
                <c:pt idx="5">
                  <c:v>137.6666666666666</c:v>
                </c:pt>
                <c:pt idx="6">
                  <c:v>145.0</c:v>
                </c:pt>
                <c:pt idx="7">
                  <c:v>152.3333333333334</c:v>
                </c:pt>
                <c:pt idx="8">
                  <c:v>159.6666666666667</c:v>
                </c:pt>
                <c:pt idx="9">
                  <c:v>167.0</c:v>
                </c:pt>
              </c:numCache>
            </c:numRef>
          </c:val>
        </c:ser>
        <c:ser>
          <c:idx val="3"/>
          <c:order val="3"/>
          <c:tx>
            <c:strRef>
              <c:f>Feuil1!$A$66</c:f>
              <c:strCache>
                <c:ptCount val="1"/>
                <c:pt idx="0">
                  <c:v>Nucléaire (73% du mix de production en 2016, 50% en 2025)</c:v>
                </c:pt>
              </c:strCache>
            </c:strRef>
          </c:tx>
          <c:spPr>
            <a:solidFill>
              <a:srgbClr val="9ABFC0">
                <a:alpha val="46667"/>
              </a:srgbClr>
            </a:solidFill>
            <a:ln>
              <a:noFill/>
            </a:ln>
            <a:effectLst/>
          </c:spPr>
          <c:cat>
            <c:numRef>
              <c:f>Feuil1!$B$62:$K$62</c:f>
              <c:numCache>
                <c:formatCode>General</c:formatCode>
                <c:ptCount val="10"/>
                <c:pt idx="0">
                  <c:v>2016.0</c:v>
                </c:pt>
                <c:pt idx="1">
                  <c:v>2017.0</c:v>
                </c:pt>
                <c:pt idx="2">
                  <c:v>2018.0</c:v>
                </c:pt>
                <c:pt idx="3">
                  <c:v>2019.0</c:v>
                </c:pt>
                <c:pt idx="4">
                  <c:v>2020.0</c:v>
                </c:pt>
                <c:pt idx="5">
                  <c:v>2021.0</c:v>
                </c:pt>
                <c:pt idx="6">
                  <c:v>2022.0</c:v>
                </c:pt>
                <c:pt idx="7">
                  <c:v>2023.0</c:v>
                </c:pt>
                <c:pt idx="8">
                  <c:v>2024.0</c:v>
                </c:pt>
                <c:pt idx="9">
                  <c:v>2025.0</c:v>
                </c:pt>
              </c:numCache>
            </c:numRef>
          </c:cat>
          <c:val>
            <c:numRef>
              <c:f>Feuil1!$B$66:$K$66</c:f>
              <c:numCache>
                <c:formatCode>General</c:formatCode>
                <c:ptCount val="10"/>
                <c:pt idx="0">
                  <c:v>400.0</c:v>
                </c:pt>
                <c:pt idx="1">
                  <c:v>385.3333333333333</c:v>
                </c:pt>
                <c:pt idx="2">
                  <c:v>370.6666666666667</c:v>
                </c:pt>
                <c:pt idx="3">
                  <c:v>355.9999999999997</c:v>
                </c:pt>
                <c:pt idx="4">
                  <c:v>341.3333333333333</c:v>
                </c:pt>
                <c:pt idx="5">
                  <c:v>326.6666666666666</c:v>
                </c:pt>
                <c:pt idx="6">
                  <c:v>311.9999999999996</c:v>
                </c:pt>
                <c:pt idx="7">
                  <c:v>297.3333333333332</c:v>
                </c:pt>
                <c:pt idx="8">
                  <c:v>282.6666666666665</c:v>
                </c:pt>
                <c:pt idx="9">
                  <c:v>268.0</c:v>
                </c:pt>
              </c:numCache>
            </c:numRef>
          </c:val>
        </c:ser>
        <c:dLbls>
          <c:showLegendKey val="0"/>
          <c:showVal val="0"/>
          <c:showCatName val="0"/>
          <c:showSerName val="0"/>
          <c:showPercent val="0"/>
          <c:showBubbleSize val="0"/>
        </c:dLbls>
        <c:axId val="-2135388360"/>
        <c:axId val="-2135571240"/>
      </c:areaChart>
      <c:catAx>
        <c:axId val="-2135388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135571240"/>
        <c:crosses val="autoZero"/>
        <c:auto val="1"/>
        <c:lblAlgn val="ctr"/>
        <c:lblOffset val="100"/>
        <c:noMultiLvlLbl val="0"/>
      </c:catAx>
      <c:valAx>
        <c:axId val="-2135571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135388360"/>
        <c:crosses val="autoZero"/>
        <c:crossBetween val="midCat"/>
      </c:valAx>
      <c:spPr>
        <a:noFill/>
        <a:ln>
          <a:noFill/>
        </a:ln>
        <a:effectLst/>
      </c:spPr>
    </c:plotArea>
    <c:legend>
      <c:legendPos val="r"/>
      <c:layout>
        <c:manualLayout>
          <c:xMode val="edge"/>
          <c:yMode val="edge"/>
          <c:x val="0.64985024827904"/>
          <c:y val="0.231297449474589"/>
          <c:w val="0.321098081249908"/>
          <c:h val="0.5374047198348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D9D6-87E8-4A4D-9405-CC1FFA84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3744</Words>
  <Characters>19282</Characters>
  <Application>Microsoft Macintosh Word</Application>
  <DocSecurity>0</DocSecurity>
  <Lines>385</Lines>
  <Paragraphs>78</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22948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Alain Grandjean</cp:lastModifiedBy>
  <cp:revision>3</cp:revision>
  <cp:lastPrinted>2017-07-06T20:41:00Z</cp:lastPrinted>
  <dcterms:created xsi:type="dcterms:W3CDTF">2017-07-06T20:41:00Z</dcterms:created>
  <dcterms:modified xsi:type="dcterms:W3CDTF">2017-07-09T13:49:00Z</dcterms:modified>
</cp:coreProperties>
</file>